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uto"/>
        <w:jc w:val="center"/>
        <w:rPr>
          <w:rFonts w:ascii="黑体" w:hAnsi="黑体" w:eastAsia="黑体" w:cs="宋体"/>
          <w:b/>
          <w:color w:val="000000"/>
          <w:kern w:val="0"/>
          <w:sz w:val="56"/>
          <w:szCs w:val="56"/>
        </w:rPr>
      </w:pPr>
      <w:bookmarkStart w:id="0" w:name="_Toc9856"/>
      <w:bookmarkStart w:id="1" w:name="_Toc31323"/>
      <w:bookmarkStart w:id="2" w:name="_Toc19602"/>
      <w:bookmarkStart w:id="3" w:name="_Toc29569"/>
      <w:bookmarkStart w:id="4" w:name="_Toc8376"/>
      <w:bookmarkStart w:id="5" w:name="_Toc25751"/>
    </w:p>
    <w:p>
      <w:pPr>
        <w:adjustRightInd w:val="0"/>
        <w:snapToGrid w:val="0"/>
        <w:spacing w:line="480" w:lineRule="auto"/>
        <w:jc w:val="center"/>
        <w:rPr>
          <w:rFonts w:hint="eastAsia" w:ascii="黑体" w:hAnsi="黑体" w:eastAsia="黑体" w:cs="宋体"/>
          <w:b/>
          <w:kern w:val="0"/>
          <w:sz w:val="52"/>
          <w:szCs w:val="52"/>
        </w:rPr>
      </w:pPr>
      <w:r>
        <w:rPr>
          <w:rFonts w:hint="eastAsia" w:ascii="黑体" w:hAnsi="黑体" w:eastAsia="黑体" w:cs="宋体"/>
          <w:b/>
          <w:kern w:val="0"/>
          <w:sz w:val="52"/>
          <w:szCs w:val="52"/>
        </w:rPr>
        <w:t>桂林洋工业区市政基地（国盛红木产业园北侧）改造混凝土采购</w:t>
      </w:r>
    </w:p>
    <w:p>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pPr>
        <w:shd w:val="clear" w:color="auto" w:fill="FFFFFF"/>
        <w:adjustRightInd w:val="0"/>
        <w:snapToGrid w:val="0"/>
        <w:spacing w:line="600" w:lineRule="exact"/>
        <w:rPr>
          <w:b/>
          <w:color w:val="000000"/>
          <w:sz w:val="24"/>
        </w:rPr>
      </w:pPr>
    </w:p>
    <w:p>
      <w:pPr>
        <w:pStyle w:val="13"/>
        <w:adjustRightInd w:val="0"/>
        <w:snapToGrid w:val="0"/>
        <w:spacing w:after="0" w:line="600" w:lineRule="exact"/>
        <w:ind w:left="0" w:leftChars="0" w:firstLine="0" w:firstLineChars="0"/>
        <w:rPr>
          <w:rFonts w:eastAsia="仿宋_GB2312"/>
          <w:b/>
          <w:color w:val="000000"/>
          <w:sz w:val="24"/>
        </w:rPr>
      </w:pPr>
    </w:p>
    <w:p>
      <w:pPr>
        <w:adjustRightInd w:val="0"/>
        <w:snapToGrid w:val="0"/>
        <w:rPr>
          <w:rFonts w:ascii="宋体" w:hAnsi="宋体" w:cs="宋体"/>
          <w:b/>
          <w:color w:val="000000"/>
          <w:kern w:val="0"/>
          <w:sz w:val="32"/>
          <w:szCs w:val="32"/>
        </w:rPr>
      </w:pPr>
    </w:p>
    <w:p>
      <w:pPr>
        <w:pStyle w:val="4"/>
        <w:rPr>
          <w:rFonts w:hAnsi="宋体" w:eastAsia="宋体" w:cs="宋体"/>
          <w:b/>
          <w:color w:val="000000"/>
          <w:sz w:val="32"/>
          <w:szCs w:val="32"/>
        </w:rPr>
      </w:pPr>
    </w:p>
    <w:p>
      <w:pPr>
        <w:rPr>
          <w:rFonts w:ascii="宋体" w:hAnsi="宋体" w:cs="宋体"/>
          <w:b/>
          <w:color w:val="000000"/>
          <w:kern w:val="0"/>
          <w:sz w:val="32"/>
          <w:szCs w:val="32"/>
        </w:rPr>
      </w:pPr>
    </w:p>
    <w:p>
      <w:pPr>
        <w:pStyle w:val="4"/>
        <w:rPr>
          <w:rFonts w:hAnsi="宋体" w:eastAsia="宋体" w:cs="宋体"/>
          <w:b/>
          <w:color w:val="000000"/>
          <w:sz w:val="32"/>
          <w:szCs w:val="32"/>
        </w:rPr>
      </w:pPr>
    </w:p>
    <w:p/>
    <w:p/>
    <w:p>
      <w:pPr>
        <w:adjustRightInd w:val="0"/>
        <w:snapToGrid w:val="0"/>
        <w:rPr>
          <w:rFonts w:ascii="宋体" w:hAnsi="宋体" w:cs="宋体"/>
          <w:b/>
          <w:color w:val="000000"/>
          <w:kern w:val="0"/>
          <w:sz w:val="32"/>
          <w:szCs w:val="32"/>
        </w:rPr>
      </w:pPr>
    </w:p>
    <w:p>
      <w:pPr>
        <w:adjustRightInd w:val="0"/>
        <w:snapToGrid w:val="0"/>
        <w:spacing w:line="800" w:lineRule="exact"/>
        <w:jc w:val="center"/>
        <w:rPr>
          <w:rFonts w:hint="default" w:ascii="宋体" w:hAnsi="宋体" w:eastAsia="宋体" w:cs="宋体"/>
          <w:b/>
          <w:kern w:val="0"/>
          <w:sz w:val="32"/>
          <w:szCs w:val="32"/>
          <w:lang w:val="en-US" w:eastAsia="zh-CN"/>
        </w:rPr>
      </w:pPr>
      <w:r>
        <w:rPr>
          <w:rFonts w:hint="eastAsia" w:ascii="宋体" w:hAnsi="宋体" w:cs="宋体"/>
          <w:b/>
          <w:kern w:val="0"/>
          <w:sz w:val="32"/>
          <w:szCs w:val="32"/>
        </w:rPr>
        <w:t>采购人：海南省桂林洋公用事业发展</w:t>
      </w:r>
      <w:r>
        <w:rPr>
          <w:rFonts w:hint="eastAsia" w:ascii="宋体" w:hAnsi="宋体" w:cs="宋体"/>
          <w:b/>
          <w:kern w:val="0"/>
          <w:sz w:val="32"/>
          <w:szCs w:val="32"/>
          <w:lang w:val="en-US" w:eastAsia="zh-CN"/>
        </w:rPr>
        <w:t>有限公司</w:t>
      </w:r>
    </w:p>
    <w:p>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lang w:val="en-US" w:eastAsia="zh-CN"/>
        </w:rPr>
        <w:t>海南江东智慧投资发展</w:t>
      </w:r>
      <w:r>
        <w:rPr>
          <w:rFonts w:hint="eastAsia" w:ascii="宋体" w:hAnsi="宋体" w:cs="宋体"/>
          <w:b/>
          <w:kern w:val="0"/>
          <w:sz w:val="32"/>
          <w:szCs w:val="32"/>
        </w:rPr>
        <w:t>有限公司</w:t>
      </w:r>
    </w:p>
    <w:p>
      <w:pPr>
        <w:adjustRightInd w:val="0"/>
        <w:snapToGrid w:val="0"/>
        <w:spacing w:line="800" w:lineRule="exact"/>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5</w:t>
      </w:r>
      <w:r>
        <w:rPr>
          <w:rFonts w:hint="eastAsia" w:ascii="宋体" w:hAnsi="宋体" w:cs="宋体"/>
          <w:b/>
          <w:kern w:val="0"/>
          <w:sz w:val="32"/>
          <w:szCs w:val="32"/>
        </w:rPr>
        <w:t>年</w:t>
      </w:r>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12</w:t>
      </w:r>
      <w:r>
        <w:rPr>
          <w:rFonts w:hint="eastAsia" w:ascii="黑体" w:hAnsi="黑体" w:eastAsia="黑体" w:cs="宋体"/>
          <w:b/>
          <w:kern w:val="0"/>
          <w:sz w:val="32"/>
          <w:szCs w:val="32"/>
          <w:u w:val="single"/>
        </w:rPr>
        <w:t xml:space="preserve"> </w:t>
      </w:r>
      <w:r>
        <w:rPr>
          <w:rFonts w:hint="eastAsia" w:ascii="宋体" w:hAnsi="宋体" w:cs="宋体"/>
          <w:b/>
          <w:kern w:val="0"/>
          <w:sz w:val="32"/>
          <w:szCs w:val="32"/>
        </w:rPr>
        <w:t>月</w:t>
      </w:r>
    </w:p>
    <w:p>
      <w:pPr>
        <w:adjustRightInd w:val="0"/>
        <w:snapToGrid w:val="0"/>
        <w:jc w:val="center"/>
        <w:rPr>
          <w:rFonts w:ascii="宋体" w:hAnsi="宋体" w:cs="宋体"/>
          <w:b/>
          <w:kern w:val="0"/>
          <w:sz w:val="32"/>
          <w:szCs w:val="32"/>
        </w:rPr>
      </w:pPr>
    </w:p>
    <w:p>
      <w:pPr>
        <w:adjustRightInd w:val="0"/>
        <w:snapToGrid w:val="0"/>
        <w:jc w:val="center"/>
        <w:rPr>
          <w:rFonts w:ascii="宋体" w:hAnsi="宋体" w:cs="宋体"/>
          <w:b/>
          <w:kern w:val="0"/>
          <w:sz w:val="32"/>
          <w:szCs w:val="32"/>
        </w:rPr>
      </w:pPr>
    </w:p>
    <w:p>
      <w:pPr>
        <w:adjustRightInd w:val="0"/>
        <w:snapToGrid w:val="0"/>
        <w:jc w:val="center"/>
        <w:rPr>
          <w:rFonts w:ascii="宋体" w:hAnsi="宋体" w:cs="宋体"/>
          <w:b/>
          <w:kern w:val="0"/>
          <w:sz w:val="32"/>
          <w:szCs w:val="32"/>
        </w:rPr>
      </w:pPr>
    </w:p>
    <w:p>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pPr>
        <w:pStyle w:val="4"/>
        <w:ind w:firstLine="0"/>
      </w:pPr>
    </w:p>
    <w:p>
      <w:pPr>
        <w:pStyle w:val="14"/>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pPr>
        <w:pStyle w:val="14"/>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pPr>
        <w:pStyle w:val="14"/>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pPr>
        <w:pStyle w:val="14"/>
        <w:tabs>
          <w:tab w:val="right" w:leader="dot" w:pos="9071"/>
        </w:tabs>
      </w:pPr>
      <w:r>
        <w:fldChar w:fldCharType="begin"/>
      </w:r>
      <w:r>
        <w:instrText xml:space="preserve"> HYPERLINK \l "_Toc13801" </w:instrText>
      </w:r>
      <w:r>
        <w:fldChar w:fldCharType="separate"/>
      </w:r>
      <w:r>
        <w:rPr>
          <w:rFonts w:hint="eastAsia" w:ascii="黑体" w:hAnsi="黑体" w:eastAsia="黑体"/>
        </w:rPr>
        <w:t xml:space="preserve">第四章 </w:t>
      </w:r>
      <w:r>
        <w:rPr>
          <w:rFonts w:hint="eastAsia" w:ascii="黑体" w:hAnsi="黑体" w:eastAsia="黑体"/>
          <w:lang w:val="en-US" w:eastAsia="zh-CN"/>
        </w:rPr>
        <w:t xml:space="preserve"> </w:t>
      </w:r>
      <w:r>
        <w:rPr>
          <w:rFonts w:hint="eastAsia" w:ascii="黑体" w:hAnsi="黑体" w:eastAsia="黑体"/>
        </w:rPr>
        <w:t>响应文件格式</w:t>
      </w:r>
      <w:r>
        <w:tab/>
      </w:r>
      <w:r>
        <w:fldChar w:fldCharType="begin"/>
      </w:r>
      <w:r>
        <w:instrText xml:space="preserve"> PAGEREF _Toc13801 \h </w:instrText>
      </w:r>
      <w:r>
        <w:fldChar w:fldCharType="separate"/>
      </w:r>
      <w:r>
        <w:t>12</w:t>
      </w:r>
      <w:r>
        <w:fldChar w:fldCharType="end"/>
      </w:r>
      <w:r>
        <w:fldChar w:fldCharType="end"/>
      </w:r>
    </w:p>
    <w:p>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pPr>
        <w:pStyle w:val="15"/>
        <w:rPr>
          <w:rFonts w:ascii="宋体" w:hAnsi="宋体"/>
          <w:bCs/>
          <w:color w:val="000000"/>
          <w:sz w:val="24"/>
          <w:u w:val="single"/>
        </w:rPr>
      </w:pPr>
    </w:p>
    <w:p>
      <w:pPr>
        <w:pStyle w:val="15"/>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rPr>
        <w:t>桂林洋工业区市政基地（国盛红木产业园北侧）改造混凝土采购</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501091988"/>
      <w:bookmarkStart w:id="7" w:name="_Toc501352348"/>
      <w:bookmarkStart w:id="8" w:name="_Toc20818"/>
      <w:bookmarkStart w:id="9" w:name="_Toc476664121"/>
      <w:bookmarkStart w:id="10" w:name="_Toc476664216"/>
      <w:bookmarkStart w:id="11" w:name="_Toc19239"/>
      <w:bookmarkStart w:id="12" w:name="_Toc476664011"/>
      <w:bookmarkStart w:id="13" w:name="_Toc23900"/>
      <w:bookmarkStart w:id="14" w:name="_Toc501035780"/>
      <w:bookmarkStart w:id="15" w:name="_Toc10031"/>
      <w:r>
        <w:rPr>
          <w:rFonts w:hint="eastAsia" w:ascii="宋体" w:hAnsi="宋体"/>
          <w:bCs/>
          <w:color w:val="000000"/>
          <w:sz w:val="24"/>
        </w:rPr>
        <w:t>，有关事项如下：</w:t>
      </w:r>
    </w:p>
    <w:p>
      <w:pPr>
        <w:pStyle w:val="15"/>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pPr>
        <w:pStyle w:val="15"/>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桂林洋工业区市政基地（国盛红木产业园北侧）改造混凝土采购</w:t>
      </w:r>
      <w:r>
        <w:rPr>
          <w:rFonts w:hint="eastAsia" w:ascii="宋体" w:hAnsi="宋体"/>
          <w:bCs/>
          <w:color w:val="000000"/>
          <w:sz w:val="24"/>
          <w:u w:val="single"/>
          <w:lang w:val="en-GB"/>
        </w:rPr>
        <w:t>；</w:t>
      </w:r>
    </w:p>
    <w:p>
      <w:pPr>
        <w:pStyle w:val="15"/>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r>
        <w:rPr>
          <w:rFonts w:hint="eastAsia" w:ascii="宋体" w:hAnsi="宋体"/>
          <w:sz w:val="24"/>
          <w:u w:val="single"/>
          <w:lang w:val="zh-CN"/>
        </w:rPr>
        <w:t>600立方米混凝土（C25）的材料供应、运输</w:t>
      </w:r>
      <w:r>
        <w:rPr>
          <w:rFonts w:hint="eastAsia" w:ascii="宋体" w:hAnsi="宋体"/>
          <w:sz w:val="24"/>
          <w:u w:val="none"/>
          <w:lang w:val="zh-CN"/>
        </w:rPr>
        <w:t>；</w:t>
      </w:r>
    </w:p>
    <w:p>
      <w:pPr>
        <w:pStyle w:val="15"/>
        <w:spacing w:line="576" w:lineRule="exact"/>
        <w:ind w:firstLine="480"/>
        <w:rPr>
          <w:rFonts w:ascii="宋体" w:hAnsi="宋体"/>
          <w:sz w:val="24"/>
        </w:rPr>
      </w:pPr>
      <w:r>
        <w:rPr>
          <w:rFonts w:hint="eastAsia" w:ascii="宋体" w:hAnsi="宋体"/>
          <w:sz w:val="24"/>
        </w:rPr>
        <w:t>3、采购范围：</w:t>
      </w:r>
      <w:r>
        <w:rPr>
          <w:rFonts w:hint="eastAsia" w:ascii="宋体" w:hAnsi="宋体"/>
          <w:sz w:val="24"/>
          <w:u w:val="single"/>
        </w:rPr>
        <w:t>桂林洋工业区市政基地（国盛红木产业园北侧）改造混凝土采购</w:t>
      </w:r>
      <w:r>
        <w:rPr>
          <w:rFonts w:hint="eastAsia" w:ascii="宋体" w:hAnsi="宋体"/>
          <w:bCs/>
          <w:sz w:val="24"/>
        </w:rPr>
        <w:t>；</w:t>
      </w:r>
    </w:p>
    <w:p>
      <w:pPr>
        <w:pStyle w:val="15"/>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000000"/>
          <w:sz w:val="24"/>
          <w:u w:val="single"/>
          <w:lang w:val="en-US" w:eastAsia="zh-CN"/>
        </w:rPr>
        <w:t>248154.00</w:t>
      </w:r>
      <w:r>
        <w:rPr>
          <w:rFonts w:hint="eastAsia" w:ascii="宋体" w:hAnsi="宋体"/>
          <w:color w:val="000000"/>
          <w:sz w:val="24"/>
          <w:u w:val="single"/>
          <w:lang w:eastAsia="zh-CN"/>
        </w:rPr>
        <w:t>元（</w:t>
      </w:r>
      <w:r>
        <w:rPr>
          <w:rFonts w:hint="eastAsia" w:ascii="宋体" w:hAnsi="宋体"/>
          <w:color w:val="000000"/>
          <w:sz w:val="24"/>
          <w:u w:val="single"/>
          <w:lang w:val="en-US" w:eastAsia="zh-CN"/>
        </w:rPr>
        <w:t>不含税</w:t>
      </w:r>
      <w:r>
        <w:rPr>
          <w:rFonts w:hint="eastAsia" w:ascii="宋体" w:hAnsi="宋体"/>
          <w:color w:val="000000"/>
          <w:sz w:val="24"/>
          <w:u w:val="single"/>
          <w:lang w:eastAsia="zh-CN"/>
        </w:rPr>
        <w:t>）</w:t>
      </w:r>
      <w:r>
        <w:rPr>
          <w:rFonts w:hint="eastAsia" w:ascii="宋体" w:hAnsi="宋体"/>
          <w:color w:val="000000"/>
          <w:sz w:val="24"/>
        </w:rPr>
        <w:t>，超过招标控制价视为无效报价；</w:t>
      </w:r>
    </w:p>
    <w:p>
      <w:pPr>
        <w:pStyle w:val="15"/>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sz w:val="24"/>
          <w:lang w:val="zh-CN"/>
        </w:rPr>
        <w:t>：</w:t>
      </w:r>
      <w:r>
        <w:rPr>
          <w:rFonts w:hint="eastAsia" w:ascii="宋体" w:hAnsi="宋体"/>
          <w:sz w:val="24"/>
          <w:u w:val="single"/>
          <w:lang w:val="en-US" w:eastAsia="zh-CN"/>
        </w:rPr>
        <w:t>根据施工进度同步进行</w:t>
      </w:r>
      <w:r>
        <w:rPr>
          <w:rFonts w:hint="eastAsia" w:ascii="宋体" w:hAnsi="宋体"/>
          <w:bCs/>
          <w:color w:val="000000"/>
          <w:sz w:val="24"/>
          <w:u w:val="none"/>
          <w:lang w:val="en-GB"/>
        </w:rPr>
        <w:t>；</w:t>
      </w:r>
    </w:p>
    <w:p>
      <w:pPr>
        <w:pStyle w:val="15"/>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pPr>
        <w:pStyle w:val="15"/>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pPr>
        <w:pStyle w:val="15"/>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pPr>
        <w:pStyle w:val="15"/>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pPr>
        <w:pStyle w:val="15"/>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25</w:t>
      </w:r>
      <w:r>
        <w:rPr>
          <w:rFonts w:hint="eastAsia" w:ascii="宋体" w:hAnsi="宋体"/>
          <w:sz w:val="24"/>
          <w:u w:val="single"/>
        </w:rPr>
        <w:t xml:space="preserve"> </w:t>
      </w:r>
      <w:r>
        <w:rPr>
          <w:rFonts w:hint="eastAsia" w:ascii="宋体" w:hAnsi="宋体"/>
          <w:sz w:val="24"/>
          <w:u w:val="single"/>
          <w:lang w:val="zh-CN"/>
        </w:rPr>
        <w:t>年</w:t>
      </w:r>
      <w:r>
        <w:rPr>
          <w:rFonts w:hint="eastAsia" w:ascii="宋体" w:hAnsi="宋体"/>
          <w:sz w:val="24"/>
          <w:u w:val="single"/>
          <w:lang w:val="en-US" w:eastAsia="zh-CN"/>
        </w:rPr>
        <w:t>12</w:t>
      </w:r>
      <w:r>
        <w:rPr>
          <w:rFonts w:hint="eastAsia" w:ascii="宋体" w:hAnsi="宋体"/>
          <w:sz w:val="24"/>
          <w:u w:val="single"/>
          <w:lang w:val="zh-CN"/>
        </w:rPr>
        <w:t xml:space="preserve"> 月</w:t>
      </w:r>
      <w:r>
        <w:rPr>
          <w:rFonts w:hint="eastAsia" w:ascii="宋体" w:hAnsi="宋体"/>
          <w:sz w:val="24"/>
          <w:u w:val="single"/>
          <w:lang w:val="en-US" w:eastAsia="zh-CN"/>
        </w:rPr>
        <w:t>26</w:t>
      </w:r>
      <w:r>
        <w:rPr>
          <w:rFonts w:hint="eastAsia" w:ascii="宋体" w:hAnsi="宋体"/>
          <w:sz w:val="24"/>
          <w:u w:val="single"/>
          <w:lang w:val="zh-CN"/>
        </w:rPr>
        <w:t>日</w:t>
      </w:r>
      <w:r>
        <w:rPr>
          <w:rFonts w:hint="eastAsia" w:ascii="宋体" w:hAnsi="宋体"/>
          <w:sz w:val="24"/>
          <w:u w:val="single"/>
          <w:lang w:val="en-US" w:eastAsia="zh-CN"/>
        </w:rPr>
        <w:t xml:space="preserve"> 9</w:t>
      </w:r>
      <w:r>
        <w:rPr>
          <w:rFonts w:hint="eastAsia" w:ascii="宋体" w:hAnsi="宋体"/>
          <w:sz w:val="24"/>
          <w:u w:val="single"/>
        </w:rPr>
        <w:t xml:space="preserve"> </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p>
    <w:p>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31519"/>
      <w:bookmarkStart w:id="19" w:name="_Toc9236"/>
      <w:bookmarkStart w:id="20" w:name="_Toc13356"/>
      <w:bookmarkStart w:id="21" w:name="_Toc28011"/>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pPr>
        <w:spacing w:line="500" w:lineRule="exact"/>
        <w:ind w:firstLine="480" w:firstLineChars="200"/>
        <w:rPr>
          <w:rFonts w:ascii="宋体" w:hAnsi="宋体" w:cs="Tahoma"/>
          <w:sz w:val="24"/>
        </w:rPr>
      </w:pPr>
      <w:r>
        <w:rPr>
          <w:rFonts w:hint="eastAsia" w:ascii="宋体" w:hAnsi="宋体" w:cs="Tahoma"/>
          <w:sz w:val="24"/>
        </w:rPr>
        <w:t>2、采购代理服务费金额：</w:t>
      </w:r>
      <w:r>
        <w:rPr>
          <w:rFonts w:hint="eastAsia" w:ascii="宋体" w:hAnsi="宋体" w:cs="Tahoma"/>
          <w:sz w:val="24"/>
          <w:lang w:val="en-US" w:eastAsia="zh-CN"/>
        </w:rPr>
        <w:t>3722</w:t>
      </w:r>
      <w:r>
        <w:rPr>
          <w:rFonts w:hint="eastAsia" w:ascii="宋体" w:hAnsi="宋体" w:cs="Tahoma"/>
          <w:sz w:val="24"/>
        </w:rPr>
        <w:t>.00元</w:t>
      </w:r>
    </w:p>
    <w:p>
      <w:pPr>
        <w:spacing w:line="500" w:lineRule="exact"/>
        <w:ind w:firstLine="480" w:firstLineChars="200"/>
        <w:rPr>
          <w:rFonts w:ascii="宋体" w:hAnsi="宋体" w:cs="Tahoma"/>
          <w:sz w:val="24"/>
        </w:rPr>
      </w:pPr>
      <w:r>
        <w:rPr>
          <w:rFonts w:hint="eastAsia" w:ascii="宋体" w:hAnsi="宋体" w:cs="Tahoma"/>
          <w:sz w:val="24"/>
        </w:rPr>
        <w:t>3、支付方式：银行转账</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bCs/>
          <w:color w:val="000000"/>
          <w:sz w:val="24"/>
          <w:u w:val="single"/>
          <w:lang w:val="zh-CN"/>
        </w:rPr>
        <w:t>桂林洋工业区市政基地（国盛红木产业园北侧）改造混凝土采购</w:t>
      </w:r>
      <w:r>
        <w:rPr>
          <w:rFonts w:hint="eastAsia" w:ascii="宋体" w:hAnsi="宋体"/>
          <w:bCs/>
          <w:kern w:val="0"/>
          <w:sz w:val="24"/>
          <w:u w:val="single"/>
        </w:rPr>
        <w:t>-采购代理服务费</w:t>
      </w:r>
    </w:p>
    <w:p>
      <w:pPr>
        <w:spacing w:line="576" w:lineRule="exact"/>
        <w:ind w:firstLine="480" w:firstLineChars="200"/>
        <w:outlineLvl w:val="1"/>
        <w:rPr>
          <w:rFonts w:ascii="黑体" w:hAnsi="黑体" w:eastAsia="黑体"/>
          <w:bCs/>
          <w:sz w:val="24"/>
        </w:rPr>
      </w:pPr>
      <w:bookmarkStart w:id="22" w:name="_Toc57360670"/>
      <w:bookmarkStart w:id="23" w:name="_Toc17875"/>
      <w:bookmarkStart w:id="24" w:name="_Toc28661"/>
      <w:bookmarkStart w:id="25" w:name="_Toc30828"/>
      <w:r>
        <w:rPr>
          <w:rFonts w:hint="eastAsia" w:ascii="黑体" w:hAnsi="黑体" w:eastAsia="黑体"/>
          <w:bCs/>
          <w:sz w:val="24"/>
        </w:rPr>
        <w:t>四、联系方式</w:t>
      </w:r>
      <w:bookmarkEnd w:id="22"/>
      <w:bookmarkEnd w:id="23"/>
      <w:bookmarkEnd w:id="24"/>
      <w:bookmarkEnd w:id="25"/>
    </w:p>
    <w:p>
      <w:pPr>
        <w:spacing w:line="360" w:lineRule="auto"/>
        <w:ind w:firstLine="480" w:firstLineChars="200"/>
        <w:rPr>
          <w:rFonts w:hint="eastAsia" w:ascii="宋体" w:hAnsi="宋体"/>
          <w:sz w:val="24"/>
          <w:lang w:val="zh-CN"/>
        </w:rPr>
      </w:pPr>
      <w:r>
        <w:rPr>
          <w:rFonts w:hint="eastAsia" w:ascii="宋体" w:hAnsi="宋体"/>
          <w:sz w:val="24"/>
          <w:lang w:val="zh-CN"/>
        </w:rPr>
        <w:t xml:space="preserve">采购人：海南省桂林洋公用事业发展有限公司 </w:t>
      </w:r>
    </w:p>
    <w:p>
      <w:pPr>
        <w:spacing w:line="360" w:lineRule="auto"/>
        <w:ind w:firstLine="480" w:firstLineChars="200"/>
        <w:rPr>
          <w:rFonts w:hint="eastAsia" w:ascii="宋体" w:hAnsi="宋体"/>
          <w:sz w:val="24"/>
          <w:lang w:val="zh-CN"/>
        </w:rPr>
      </w:pPr>
      <w:r>
        <w:rPr>
          <w:rFonts w:hint="eastAsia" w:ascii="宋体" w:hAnsi="宋体"/>
          <w:sz w:val="24"/>
          <w:lang w:val="zh-CN"/>
        </w:rPr>
        <w:t xml:space="preserve">地址：海口市桂林洋经济开发区兴洋大道94号 </w:t>
      </w:r>
    </w:p>
    <w:p>
      <w:pPr>
        <w:spacing w:line="360" w:lineRule="auto"/>
        <w:ind w:firstLine="480" w:firstLineChars="200"/>
        <w:rPr>
          <w:rFonts w:hint="eastAsia" w:ascii="宋体" w:hAnsi="宋体"/>
          <w:sz w:val="24"/>
          <w:lang w:val="zh-CN"/>
        </w:rPr>
      </w:pPr>
      <w:r>
        <w:rPr>
          <w:rFonts w:hint="eastAsia" w:ascii="宋体" w:hAnsi="宋体"/>
          <w:sz w:val="24"/>
          <w:lang w:val="zh-CN"/>
        </w:rPr>
        <w:t xml:space="preserve">电话：0898-65710117   </w:t>
      </w:r>
    </w:p>
    <w:p>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林</w:t>
      </w:r>
      <w:r>
        <w:rPr>
          <w:rFonts w:hint="eastAsia" w:ascii="宋体" w:hAnsi="宋体"/>
          <w:sz w:val="24"/>
          <w:lang w:val="zh-CN"/>
        </w:rPr>
        <w:t xml:space="preserve">先生 </w:t>
      </w:r>
    </w:p>
    <w:p>
      <w:pPr>
        <w:spacing w:line="360" w:lineRule="auto"/>
        <w:ind w:firstLine="480" w:firstLineChars="200"/>
        <w:rPr>
          <w:rFonts w:hint="eastAsia" w:ascii="宋体" w:hAnsi="宋体"/>
          <w:sz w:val="24"/>
          <w:lang w:val="zh-CN"/>
        </w:rPr>
      </w:pPr>
    </w:p>
    <w:p>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地址：海口市美兰区江东大道江东发展大厦3楼</w:t>
      </w:r>
    </w:p>
    <w:p>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pPr>
        <w:spacing w:line="360" w:lineRule="auto"/>
        <w:ind w:firstLine="480" w:firstLineChars="200"/>
        <w:rPr>
          <w:rFonts w:ascii="宋体" w:hAnsi="宋体"/>
          <w:sz w:val="24"/>
          <w:lang w:val="zh-CN"/>
        </w:rPr>
      </w:pPr>
      <w:r>
        <w:rPr>
          <w:rFonts w:hint="eastAsia" w:ascii="宋体" w:hAnsi="宋体"/>
          <w:sz w:val="24"/>
          <w:lang w:val="zh-CN"/>
        </w:rPr>
        <w:t>联系人：黄</w:t>
      </w:r>
      <w:r>
        <w:rPr>
          <w:rFonts w:hint="eastAsia" w:ascii="宋体" w:hAnsi="宋体"/>
          <w:sz w:val="24"/>
          <w:lang w:val="en-US" w:eastAsia="zh-CN"/>
        </w:rPr>
        <w:t>先生</w:t>
      </w:r>
      <w:r>
        <w:rPr>
          <w:rFonts w:hint="eastAsia" w:ascii="宋体" w:hAnsi="宋体"/>
          <w:sz w:val="24"/>
          <w:lang w:val="zh-CN"/>
        </w:rPr>
        <w:t xml:space="preserve"> </w:t>
      </w:r>
    </w:p>
    <w:p>
      <w:pPr>
        <w:pStyle w:val="15"/>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25</w:t>
      </w:r>
      <w:r>
        <w:rPr>
          <w:rFonts w:hint="eastAsia" w:ascii="宋体" w:hAnsi="宋体"/>
          <w:color w:val="000000"/>
          <w:sz w:val="24"/>
          <w:lang w:val="zh-CN"/>
        </w:rPr>
        <w:t>年</w:t>
      </w:r>
      <w:r>
        <w:rPr>
          <w:rFonts w:hint="eastAsia" w:ascii="宋体" w:hAnsi="宋体"/>
          <w:color w:val="000000"/>
          <w:sz w:val="24"/>
          <w:lang w:val="en-US" w:eastAsia="zh-CN"/>
        </w:rPr>
        <w:t>12</w:t>
      </w:r>
      <w:r>
        <w:rPr>
          <w:rFonts w:hint="eastAsia" w:ascii="宋体" w:hAnsi="宋体"/>
          <w:color w:val="000000"/>
          <w:sz w:val="24"/>
          <w:lang w:val="zh-CN"/>
        </w:rPr>
        <w:t>月</w:t>
      </w:r>
      <w:r>
        <w:rPr>
          <w:rFonts w:hint="eastAsia" w:ascii="宋体" w:hAnsi="宋体"/>
          <w:color w:val="000000"/>
          <w:sz w:val="24"/>
          <w:lang w:val="en-US" w:eastAsia="zh-CN"/>
        </w:rPr>
        <w:t>22</w:t>
      </w:r>
      <w:r>
        <w:rPr>
          <w:rFonts w:hint="eastAsia" w:ascii="宋体" w:hAnsi="宋体"/>
          <w:color w:val="000000"/>
          <w:sz w:val="24"/>
        </w:rPr>
        <w:t>日</w:t>
      </w:r>
      <w:bookmarkStart w:id="26" w:name="_Toc18360"/>
      <w:bookmarkStart w:id="27" w:name="_Toc27230"/>
    </w:p>
    <w:p>
      <w:pPr>
        <w:pStyle w:val="15"/>
        <w:ind w:firstLine="480"/>
        <w:jc w:val="right"/>
        <w:rPr>
          <w:rFonts w:ascii="宋体" w:hAnsi="宋体"/>
          <w:color w:val="000000"/>
          <w:sz w:val="24"/>
        </w:rPr>
      </w:pPr>
    </w:p>
    <w:p>
      <w:pPr>
        <w:pStyle w:val="15"/>
        <w:ind w:firstLine="480"/>
        <w:jc w:val="right"/>
        <w:rPr>
          <w:rFonts w:ascii="宋体" w:hAnsi="宋体"/>
          <w:color w:val="000000"/>
          <w:sz w:val="24"/>
        </w:rPr>
      </w:pPr>
    </w:p>
    <w:p>
      <w:pPr>
        <w:pStyle w:val="15"/>
        <w:ind w:firstLine="480"/>
        <w:jc w:val="center"/>
        <w:rPr>
          <w:rFonts w:ascii="黑体" w:hAnsi="黑体" w:eastAsia="黑体"/>
          <w:b/>
          <w:bCs/>
          <w:color w:val="000000"/>
          <w:kern w:val="0"/>
          <w:sz w:val="24"/>
          <w:lang w:val="en-GB"/>
        </w:rPr>
      </w:pPr>
      <w:r>
        <w:rPr>
          <w:rStyle w:val="16"/>
          <w:rFonts w:hint="eastAsia" w:ascii="黑体" w:hAnsi="黑体" w:eastAsia="黑体"/>
          <w:b w:val="0"/>
          <w:bCs w:val="0"/>
          <w:color w:val="000000"/>
        </w:rPr>
        <w:br w:type="page"/>
      </w:r>
      <w:r>
        <w:rPr>
          <w:rStyle w:val="16"/>
          <w:rFonts w:hint="eastAsia" w:ascii="黑体" w:hAnsi="黑体" w:eastAsia="黑体"/>
          <w:b w:val="0"/>
          <w:bCs w:val="0"/>
          <w:color w:val="000000"/>
        </w:rPr>
        <w:t>第二章  供应商须知</w:t>
      </w:r>
      <w:bookmarkEnd w:id="18"/>
      <w:bookmarkEnd w:id="19"/>
      <w:bookmarkEnd w:id="20"/>
      <w:bookmarkEnd w:id="21"/>
      <w:bookmarkEnd w:id="26"/>
      <w:bookmarkEnd w:id="27"/>
    </w:p>
    <w:p>
      <w:pPr>
        <w:pStyle w:val="15"/>
        <w:spacing w:line="576" w:lineRule="exact"/>
        <w:ind w:firstLine="436" w:firstLineChars="182"/>
        <w:outlineLvl w:val="1"/>
        <w:rPr>
          <w:rFonts w:ascii="黑体" w:hAnsi="黑体" w:eastAsia="黑体"/>
          <w:bCs/>
          <w:sz w:val="24"/>
        </w:rPr>
      </w:pPr>
      <w:bookmarkStart w:id="28" w:name="_Toc4366"/>
      <w:bookmarkStart w:id="29" w:name="_Toc320953877"/>
      <w:bookmarkStart w:id="30" w:name="_Toc31672"/>
      <w:bookmarkStart w:id="31" w:name="_Toc17998"/>
      <w:bookmarkStart w:id="32" w:name="_Toc14218"/>
      <w:bookmarkStart w:id="33" w:name="_Toc20341"/>
      <w:bookmarkStart w:id="34" w:name="_Toc16158"/>
      <w:bookmarkStart w:id="35" w:name="_Toc12800"/>
      <w:r>
        <w:rPr>
          <w:rFonts w:hint="eastAsia" w:ascii="黑体" w:hAnsi="黑体" w:eastAsia="黑体"/>
          <w:bCs/>
          <w:sz w:val="24"/>
        </w:rPr>
        <w:t>一、总则</w:t>
      </w:r>
      <w:bookmarkEnd w:id="28"/>
    </w:p>
    <w:p>
      <w:pPr>
        <w:pStyle w:val="15"/>
        <w:spacing w:line="576" w:lineRule="exact"/>
        <w:ind w:firstLine="482"/>
        <w:rPr>
          <w:rFonts w:ascii="宋体" w:hAnsi="宋体" w:cs="宋体"/>
          <w:b/>
          <w:bCs/>
          <w:sz w:val="24"/>
        </w:rPr>
      </w:pPr>
      <w:r>
        <w:rPr>
          <w:rFonts w:hint="eastAsia" w:ascii="宋体" w:hAnsi="宋体" w:cs="宋体"/>
          <w:b/>
          <w:bCs/>
          <w:sz w:val="24"/>
        </w:rPr>
        <w:t>1、有关定义及相应职责</w:t>
      </w:r>
    </w:p>
    <w:p>
      <w:pPr>
        <w:pStyle w:val="15"/>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r>
        <w:rPr>
          <w:rFonts w:hint="eastAsia" w:ascii="宋体" w:hAnsi="宋体"/>
          <w:sz w:val="24"/>
          <w:lang w:val="zh-CN"/>
        </w:rPr>
        <w:t>海南省桂林洋公用事业发展有限公司</w:t>
      </w:r>
      <w:r>
        <w:rPr>
          <w:rFonts w:hint="eastAsia" w:ascii="宋体" w:hAnsi="宋体" w:cs="宋体"/>
          <w:bCs/>
          <w:sz w:val="24"/>
          <w:lang w:val="zh-CN"/>
        </w:rPr>
        <w:t>；</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bCs/>
          <w:color w:val="000000"/>
          <w:sz w:val="24"/>
          <w:u w:val="single"/>
          <w:lang w:val="zh-CN"/>
        </w:rPr>
        <w:t>桂林洋工业区市政基地（国盛红木产业园北侧）改造混凝土采购</w:t>
      </w:r>
      <w:r>
        <w:rPr>
          <w:rFonts w:hint="eastAsia" w:ascii="宋体" w:hAnsi="宋体" w:cs="宋体"/>
          <w:sz w:val="24"/>
        </w:rPr>
        <w:t>的供应商。其职责如下：</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pPr>
        <w:pStyle w:val="15"/>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pPr>
        <w:pStyle w:val="15"/>
        <w:spacing w:line="576" w:lineRule="exact"/>
        <w:ind w:firstLine="482"/>
        <w:rPr>
          <w:rFonts w:ascii="宋体" w:hAnsi="宋体" w:cs="宋体"/>
          <w:b/>
          <w:bCs/>
          <w:sz w:val="24"/>
        </w:rPr>
      </w:pPr>
      <w:r>
        <w:rPr>
          <w:rFonts w:hint="eastAsia" w:ascii="宋体" w:hAnsi="宋体" w:cs="宋体"/>
          <w:b/>
          <w:bCs/>
          <w:sz w:val="24"/>
        </w:rPr>
        <w:t>2、询比价费用</w:t>
      </w:r>
    </w:p>
    <w:p>
      <w:pPr>
        <w:pStyle w:val="15"/>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pPr>
        <w:pStyle w:val="15"/>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pPr>
        <w:pStyle w:val="15"/>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pPr>
        <w:pStyle w:val="15"/>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pPr>
        <w:pStyle w:val="15"/>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pPr>
        <w:pStyle w:val="15"/>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pPr>
        <w:pStyle w:val="15"/>
        <w:spacing w:line="576" w:lineRule="exact"/>
        <w:ind w:firstLine="482"/>
        <w:rPr>
          <w:rFonts w:ascii="宋体" w:hAnsi="宋体" w:cs="宋体"/>
          <w:b/>
          <w:bCs/>
          <w:sz w:val="24"/>
        </w:rPr>
      </w:pPr>
      <w:r>
        <w:rPr>
          <w:rFonts w:hint="eastAsia" w:ascii="宋体" w:hAnsi="宋体"/>
          <w:b/>
          <w:bCs/>
          <w:sz w:val="24"/>
        </w:rPr>
        <w:t>4、询比价文件的构成</w:t>
      </w:r>
    </w:p>
    <w:p>
      <w:pPr>
        <w:pStyle w:val="15"/>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pPr>
        <w:pStyle w:val="15"/>
        <w:spacing w:line="576" w:lineRule="exact"/>
        <w:ind w:firstLine="480"/>
        <w:rPr>
          <w:rFonts w:hint="eastAsia" w:ascii="宋体" w:hAnsi="宋体" w:eastAsia="宋体"/>
          <w:sz w:val="24"/>
          <w:lang w:eastAsia="zh-CN"/>
        </w:rPr>
      </w:pPr>
      <w:r>
        <w:rPr>
          <w:rFonts w:hint="eastAsia" w:ascii="宋体" w:hAnsi="宋体"/>
          <w:sz w:val="24"/>
        </w:rPr>
        <w:t>第一章 询比价</w:t>
      </w:r>
      <w:r>
        <w:rPr>
          <w:rFonts w:hint="eastAsia" w:ascii="宋体" w:hAnsi="宋体"/>
          <w:sz w:val="24"/>
          <w:lang w:val="en-US" w:eastAsia="zh-CN"/>
        </w:rPr>
        <w:t>公告</w:t>
      </w:r>
    </w:p>
    <w:p>
      <w:pPr>
        <w:pStyle w:val="15"/>
        <w:spacing w:line="576" w:lineRule="exact"/>
        <w:ind w:firstLine="480"/>
        <w:rPr>
          <w:rFonts w:ascii="宋体" w:hAnsi="宋体"/>
          <w:sz w:val="24"/>
        </w:rPr>
      </w:pPr>
      <w:r>
        <w:rPr>
          <w:rFonts w:hint="eastAsia" w:ascii="宋体" w:hAnsi="宋体"/>
          <w:sz w:val="24"/>
        </w:rPr>
        <w:t>第二章 供应商须知</w:t>
      </w:r>
    </w:p>
    <w:p>
      <w:pPr>
        <w:pStyle w:val="15"/>
        <w:spacing w:line="576" w:lineRule="exact"/>
        <w:ind w:firstLine="480"/>
        <w:rPr>
          <w:rFonts w:ascii="宋体" w:hAnsi="宋体"/>
          <w:sz w:val="24"/>
        </w:rPr>
      </w:pPr>
      <w:r>
        <w:rPr>
          <w:rFonts w:hint="eastAsia" w:ascii="宋体" w:hAnsi="宋体"/>
          <w:sz w:val="24"/>
        </w:rPr>
        <w:t>第三章 合同</w:t>
      </w:r>
    </w:p>
    <w:p>
      <w:pPr>
        <w:pStyle w:val="15"/>
        <w:spacing w:line="576" w:lineRule="exact"/>
        <w:ind w:firstLine="480"/>
        <w:rPr>
          <w:rFonts w:ascii="宋体" w:hAnsi="宋体"/>
          <w:sz w:val="24"/>
        </w:rPr>
      </w:pPr>
      <w:r>
        <w:rPr>
          <w:rFonts w:hint="eastAsia" w:ascii="宋体" w:hAnsi="宋体"/>
          <w:sz w:val="24"/>
        </w:rPr>
        <w:t>第四章 响应文件格式</w:t>
      </w:r>
    </w:p>
    <w:p>
      <w:pPr>
        <w:pStyle w:val="15"/>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pPr>
        <w:pStyle w:val="15"/>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pPr>
        <w:pStyle w:val="15"/>
        <w:spacing w:line="576" w:lineRule="exact"/>
        <w:ind w:firstLine="482"/>
        <w:rPr>
          <w:rFonts w:ascii="宋体" w:hAnsi="宋体" w:cs="宋体"/>
          <w:b/>
          <w:bCs/>
          <w:sz w:val="24"/>
        </w:rPr>
      </w:pPr>
      <w:r>
        <w:rPr>
          <w:rFonts w:hint="eastAsia" w:ascii="宋体" w:hAnsi="宋体"/>
          <w:b/>
          <w:bCs/>
          <w:sz w:val="24"/>
        </w:rPr>
        <w:t>5、询比价文件的澄清</w:t>
      </w:r>
    </w:p>
    <w:p>
      <w:pPr>
        <w:pStyle w:val="15"/>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pPr>
        <w:pStyle w:val="15"/>
        <w:spacing w:line="576" w:lineRule="exact"/>
        <w:ind w:firstLine="482"/>
        <w:rPr>
          <w:rFonts w:ascii="宋体" w:hAnsi="宋体"/>
          <w:b/>
          <w:bCs/>
          <w:sz w:val="24"/>
        </w:rPr>
      </w:pPr>
      <w:r>
        <w:rPr>
          <w:rFonts w:hint="eastAsia" w:ascii="宋体" w:hAnsi="宋体"/>
          <w:b/>
          <w:bCs/>
          <w:sz w:val="24"/>
        </w:rPr>
        <w:t>6、询比价文件的修改</w:t>
      </w:r>
    </w:p>
    <w:p>
      <w:pPr>
        <w:pStyle w:val="15"/>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pPr>
        <w:pStyle w:val="15"/>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pPr>
        <w:pStyle w:val="15"/>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pPr>
        <w:pStyle w:val="15"/>
        <w:spacing w:line="576" w:lineRule="exact"/>
        <w:ind w:firstLine="480"/>
        <w:rPr>
          <w:rFonts w:ascii="宋体" w:hAnsi="宋体" w:cs="宋体"/>
          <w:sz w:val="24"/>
        </w:rPr>
      </w:pPr>
      <w:r>
        <w:rPr>
          <w:rFonts w:hint="eastAsia" w:ascii="宋体" w:hAnsi="宋体" w:cs="宋体"/>
          <w:sz w:val="24"/>
        </w:rPr>
        <w:t>6.4 本询比价文件的解释权属于采购人。</w:t>
      </w:r>
    </w:p>
    <w:p>
      <w:pPr>
        <w:pStyle w:val="15"/>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三、询比价文件的编制和数量</w:t>
      </w:r>
      <w:bookmarkEnd w:id="37"/>
    </w:p>
    <w:p>
      <w:pPr>
        <w:pStyle w:val="15"/>
        <w:spacing w:line="576" w:lineRule="exact"/>
        <w:ind w:firstLine="482"/>
        <w:rPr>
          <w:rFonts w:ascii="宋体" w:hAnsi="宋体"/>
          <w:b/>
          <w:bCs/>
          <w:sz w:val="24"/>
        </w:rPr>
      </w:pPr>
      <w:r>
        <w:rPr>
          <w:rFonts w:hint="eastAsia" w:ascii="宋体" w:hAnsi="宋体"/>
          <w:b/>
          <w:bCs/>
          <w:sz w:val="24"/>
        </w:rPr>
        <w:t>7、响应文件的语言</w:t>
      </w:r>
    </w:p>
    <w:p>
      <w:pPr>
        <w:pStyle w:val="15"/>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pPr>
        <w:pStyle w:val="15"/>
        <w:spacing w:line="576" w:lineRule="exact"/>
        <w:ind w:firstLine="482"/>
        <w:rPr>
          <w:rFonts w:ascii="宋体" w:hAnsi="宋体"/>
          <w:b/>
          <w:bCs/>
          <w:sz w:val="24"/>
        </w:rPr>
      </w:pPr>
      <w:r>
        <w:rPr>
          <w:rFonts w:hint="eastAsia" w:ascii="宋体" w:hAnsi="宋体"/>
          <w:b/>
          <w:bCs/>
          <w:sz w:val="24"/>
        </w:rPr>
        <w:t>8、响应文件的构成</w:t>
      </w:r>
    </w:p>
    <w:p>
      <w:pPr>
        <w:pStyle w:val="15"/>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pPr>
        <w:pStyle w:val="15"/>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pPr>
        <w:pStyle w:val="15"/>
        <w:spacing w:line="576" w:lineRule="exact"/>
        <w:ind w:firstLine="482"/>
        <w:rPr>
          <w:rFonts w:ascii="宋体" w:hAnsi="宋体"/>
          <w:b/>
          <w:bCs/>
          <w:sz w:val="24"/>
        </w:rPr>
      </w:pPr>
      <w:r>
        <w:rPr>
          <w:rFonts w:hint="eastAsia" w:ascii="宋体" w:hAnsi="宋体"/>
          <w:b/>
          <w:bCs/>
          <w:sz w:val="24"/>
        </w:rPr>
        <w:t>9、响应文件编制</w:t>
      </w:r>
    </w:p>
    <w:p>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pPr>
        <w:pStyle w:val="15"/>
        <w:spacing w:line="576" w:lineRule="exact"/>
        <w:ind w:firstLine="482"/>
        <w:rPr>
          <w:rFonts w:ascii="宋体" w:hAnsi="宋体"/>
          <w:b/>
          <w:bCs/>
          <w:sz w:val="24"/>
        </w:rPr>
      </w:pPr>
      <w:r>
        <w:rPr>
          <w:rFonts w:hint="eastAsia" w:ascii="宋体" w:hAnsi="宋体"/>
          <w:b/>
          <w:bCs/>
          <w:sz w:val="24"/>
        </w:rPr>
        <w:t>10、报价</w:t>
      </w:r>
    </w:p>
    <w:p>
      <w:pPr>
        <w:pStyle w:val="15"/>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报价超过招标控制价视为无效报价。</w:t>
      </w:r>
    </w:p>
    <w:p>
      <w:pPr>
        <w:pStyle w:val="15"/>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报价清单（如有）</w:t>
      </w:r>
      <w:r>
        <w:rPr>
          <w:rFonts w:hint="eastAsia" w:ascii="宋体" w:hAnsi="宋体" w:cs="宋体"/>
          <w:sz w:val="24"/>
          <w:lang w:val="en-GB"/>
        </w:rPr>
        <w:t>的要求报价。</w:t>
      </w:r>
    </w:p>
    <w:p>
      <w:pPr>
        <w:pStyle w:val="15"/>
        <w:spacing w:line="576" w:lineRule="exact"/>
        <w:ind w:firstLine="482"/>
        <w:rPr>
          <w:rFonts w:ascii="宋体" w:hAnsi="宋体"/>
          <w:b/>
          <w:bCs/>
          <w:sz w:val="24"/>
        </w:rPr>
      </w:pPr>
      <w:r>
        <w:rPr>
          <w:rFonts w:hint="eastAsia" w:ascii="宋体" w:hAnsi="宋体"/>
          <w:b/>
          <w:bCs/>
          <w:sz w:val="24"/>
        </w:rPr>
        <w:t>11、询比价保证金（本项目不作要求）</w:t>
      </w:r>
    </w:p>
    <w:p>
      <w:pPr>
        <w:pStyle w:val="15"/>
        <w:spacing w:line="576" w:lineRule="exact"/>
        <w:ind w:firstLine="482"/>
        <w:rPr>
          <w:rFonts w:ascii="宋体" w:hAnsi="宋体"/>
          <w:b/>
          <w:bCs/>
          <w:sz w:val="24"/>
        </w:rPr>
      </w:pPr>
      <w:r>
        <w:rPr>
          <w:rFonts w:hint="eastAsia" w:ascii="宋体" w:hAnsi="宋体"/>
          <w:b/>
          <w:bCs/>
          <w:sz w:val="24"/>
        </w:rPr>
        <w:t>12、响应文件的签署</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pPr>
        <w:pStyle w:val="15"/>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pPr>
        <w:pStyle w:val="15"/>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pPr>
        <w:pStyle w:val="15"/>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pPr>
        <w:pStyle w:val="15"/>
        <w:spacing w:line="576" w:lineRule="exact"/>
        <w:ind w:firstLine="482"/>
        <w:rPr>
          <w:rFonts w:ascii="宋体" w:hAnsi="宋体"/>
          <w:b/>
          <w:bCs/>
          <w:sz w:val="24"/>
        </w:rPr>
      </w:pPr>
      <w:r>
        <w:rPr>
          <w:rFonts w:hint="eastAsia" w:ascii="宋体" w:hAnsi="宋体"/>
          <w:b/>
          <w:bCs/>
          <w:sz w:val="24"/>
        </w:rPr>
        <w:t>13、响应文件的密封及标记</w:t>
      </w:r>
    </w:p>
    <w:p>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pPr>
        <w:pStyle w:val="15"/>
        <w:spacing w:line="576" w:lineRule="exact"/>
        <w:ind w:firstLine="480"/>
        <w:rPr>
          <w:rFonts w:ascii="宋体" w:hAnsi="宋体" w:cs="宋体"/>
          <w:sz w:val="24"/>
        </w:rPr>
      </w:pPr>
      <w:r>
        <w:rPr>
          <w:rFonts w:hint="eastAsia" w:ascii="宋体" w:hAnsi="宋体" w:cs="宋体"/>
          <w:sz w:val="24"/>
        </w:rPr>
        <w:t>致：</w:t>
      </w:r>
      <w:r>
        <w:rPr>
          <w:rFonts w:hint="eastAsia" w:ascii="宋体" w:hAnsi="宋体"/>
          <w:sz w:val="24"/>
          <w:lang w:val="zh-CN"/>
        </w:rPr>
        <w:t>海南省桂林洋公用事业发展有限公</w:t>
      </w:r>
      <w:r>
        <w:rPr>
          <w:rFonts w:hint="eastAsia" w:ascii="宋体" w:hAnsi="宋体"/>
          <w:sz w:val="24"/>
          <w:u w:val="none"/>
        </w:rPr>
        <w:t>司</w:t>
      </w:r>
    </w:p>
    <w:p>
      <w:pPr>
        <w:pStyle w:val="15"/>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bCs/>
          <w:color w:val="000000"/>
          <w:sz w:val="24"/>
          <w:u w:val="single"/>
          <w:lang w:val="zh-CN"/>
        </w:rPr>
        <w:t>桂林洋工业区市政基地（国盛红木产业园北侧）改造混凝土采购</w:t>
      </w:r>
    </w:p>
    <w:p>
      <w:pPr>
        <w:pStyle w:val="15"/>
        <w:spacing w:line="576" w:lineRule="exact"/>
        <w:ind w:firstLine="480"/>
        <w:rPr>
          <w:rFonts w:ascii="宋体" w:hAnsi="宋体" w:cs="宋体"/>
          <w:sz w:val="24"/>
        </w:rPr>
      </w:pPr>
      <w:r>
        <w:rPr>
          <w:rFonts w:hint="eastAsia" w:ascii="宋体" w:hAnsi="宋体" w:cs="宋体"/>
          <w:sz w:val="24"/>
        </w:rPr>
        <w:t>注明：“请勿在响应文件递交截止时间之前启封”</w:t>
      </w:r>
    </w:p>
    <w:p>
      <w:pPr>
        <w:pStyle w:val="15"/>
        <w:spacing w:line="576" w:lineRule="exact"/>
        <w:ind w:firstLine="480"/>
        <w:rPr>
          <w:rFonts w:ascii="宋体" w:hAnsi="宋体" w:cs="宋体"/>
          <w:sz w:val="24"/>
        </w:rPr>
      </w:pPr>
      <w:r>
        <w:rPr>
          <w:rFonts w:hint="eastAsia" w:ascii="宋体" w:hAnsi="宋体" w:cs="宋体"/>
          <w:sz w:val="24"/>
        </w:rPr>
        <w:t>供应商名称、联系人姓名和电话</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pPr>
        <w:pStyle w:val="15"/>
        <w:spacing w:line="576" w:lineRule="exact"/>
        <w:ind w:firstLine="482"/>
        <w:rPr>
          <w:rFonts w:ascii="宋体" w:hAnsi="宋体"/>
          <w:b/>
          <w:bCs/>
          <w:sz w:val="24"/>
        </w:rPr>
      </w:pPr>
      <w:r>
        <w:rPr>
          <w:rFonts w:hint="eastAsia" w:ascii="宋体" w:hAnsi="宋体"/>
          <w:b/>
          <w:bCs/>
          <w:sz w:val="24"/>
        </w:rPr>
        <w:t>14、响应文件递交截止时间</w:t>
      </w:r>
    </w:p>
    <w:p>
      <w:pPr>
        <w:pStyle w:val="15"/>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pPr>
        <w:pStyle w:val="15"/>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pPr>
        <w:pStyle w:val="15"/>
        <w:spacing w:line="576" w:lineRule="exact"/>
        <w:ind w:firstLine="436" w:firstLineChars="182"/>
        <w:outlineLvl w:val="1"/>
        <w:rPr>
          <w:rFonts w:ascii="黑体" w:hAnsi="黑体" w:eastAsia="黑体"/>
          <w:bCs/>
          <w:sz w:val="24"/>
        </w:rPr>
      </w:pPr>
      <w:bookmarkStart w:id="39" w:name="_Toc686"/>
      <w:bookmarkStart w:id="40" w:name="_Toc3396"/>
      <w:bookmarkStart w:id="41" w:name="_Toc7238"/>
      <w:bookmarkStart w:id="42" w:name="_Toc7656"/>
      <w:bookmarkStart w:id="43" w:name="_Toc21706"/>
      <w:bookmarkStart w:id="44" w:name="_Toc17167"/>
      <w:bookmarkStart w:id="45" w:name="_Toc71991686"/>
      <w:bookmarkStart w:id="46" w:name="_Toc31798"/>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本次询比价采用经评审的最低</w:t>
      </w:r>
      <w:r>
        <w:rPr>
          <w:rFonts w:hint="eastAsia" w:ascii="宋体" w:hAnsi="宋体" w:cs="宋体"/>
          <w:sz w:val="24"/>
          <w:lang w:val="en-US" w:eastAsia="zh-CN"/>
        </w:rPr>
        <w:t>投</w:t>
      </w:r>
      <w:r>
        <w:rPr>
          <w:rFonts w:hint="eastAsia" w:ascii="宋体" w:hAnsi="宋体" w:cs="宋体"/>
          <w:sz w:val="24"/>
          <w:lang w:val="en-GB"/>
        </w:rPr>
        <w:t>标价法。</w:t>
      </w:r>
    </w:p>
    <w:p>
      <w:pPr>
        <w:pStyle w:val="15"/>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经评审的最低</w:t>
      </w:r>
      <w:r>
        <w:rPr>
          <w:rFonts w:hint="eastAsia" w:ascii="宋体" w:hAnsi="宋体" w:cs="宋体"/>
          <w:sz w:val="24"/>
          <w:lang w:val="en-US" w:eastAsia="zh-CN"/>
        </w:rPr>
        <w:t>投</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pPr>
        <w:pStyle w:val="15"/>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pPr>
        <w:pStyle w:val="15"/>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pPr>
        <w:pStyle w:val="15"/>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pPr>
        <w:pStyle w:val="15"/>
        <w:spacing w:line="576" w:lineRule="exact"/>
        <w:ind w:firstLine="480"/>
        <w:rPr>
          <w:rFonts w:hint="eastAsia" w:ascii="宋体" w:hAnsi="宋体" w:cs="宋体"/>
          <w:color w:val="000000"/>
          <w:sz w:val="24"/>
        </w:rPr>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8324"/>
      <w:bookmarkStart w:id="48" w:name="_Toc10319"/>
    </w:p>
    <w:p>
      <w:pPr>
        <w:pStyle w:val="15"/>
        <w:spacing w:line="576" w:lineRule="exact"/>
        <w:ind w:firstLine="480"/>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15.5 本文件未尽事宜，参照《中华人民共和国招标投标法》《中华人民共和国招标投标法实施条例》及相关配套规章、规范性文件的规定执行。</w:t>
      </w:r>
    </w:p>
    <w:p>
      <w:pPr>
        <w:pStyle w:val="15"/>
        <w:jc w:val="center"/>
        <w:outlineLvl w:val="0"/>
        <w:rPr>
          <w:rFonts w:ascii="黑体" w:hAnsi="黑体" w:eastAsia="黑体" w:cs="宋体"/>
          <w:color w:val="000000"/>
          <w:kern w:val="0"/>
          <w:sz w:val="24"/>
          <w:lang w:val="en-GB"/>
        </w:rPr>
      </w:pPr>
      <w:r>
        <w:rPr>
          <w:rStyle w:val="16"/>
          <w:rFonts w:hint="eastAsia" w:ascii="黑体" w:hAnsi="黑体" w:eastAsia="黑体"/>
          <w:color w:val="000000"/>
        </w:rPr>
        <w:br w:type="page"/>
      </w:r>
      <w:r>
        <w:rPr>
          <w:rStyle w:val="16"/>
          <w:rFonts w:hint="eastAsia" w:ascii="黑体" w:hAnsi="黑体" w:eastAsia="黑体"/>
          <w:color w:val="000000"/>
        </w:rPr>
        <w:t>第三章　合同</w:t>
      </w:r>
      <w:bookmarkEnd w:id="47"/>
      <w:bookmarkEnd w:id="48"/>
    </w:p>
    <w:p>
      <w:pPr>
        <w:pStyle w:val="15"/>
        <w:ind w:firstLine="149" w:firstLineChars="71"/>
        <w:rPr>
          <w:color w:val="000000"/>
          <w:lang w:val="en-GB"/>
        </w:rPr>
      </w:pPr>
    </w:p>
    <w:p>
      <w:pPr>
        <w:pStyle w:val="15"/>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pPr>
        <w:pStyle w:val="15"/>
        <w:jc w:val="center"/>
        <w:outlineLvl w:val="0"/>
        <w:rPr>
          <w:rStyle w:val="16"/>
          <w:rFonts w:ascii="黑体" w:hAnsi="黑体" w:eastAsia="黑体"/>
          <w:b w:val="0"/>
          <w:bCs w:val="0"/>
          <w:color w:val="000000"/>
        </w:rPr>
      </w:pPr>
      <w:bookmarkStart w:id="49" w:name="_Toc37778966"/>
      <w:bookmarkStart w:id="50" w:name="_Toc483842059"/>
      <w:bookmarkStart w:id="51" w:name="_Toc444445911"/>
      <w:bookmarkStart w:id="52" w:name="_Toc10003"/>
      <w:bookmarkStart w:id="53" w:name="_Toc483841855"/>
      <w:bookmarkStart w:id="54" w:name="_Toc13801"/>
      <w:bookmarkStart w:id="55" w:name="_Toc10015"/>
      <w:r>
        <w:rPr>
          <w:rStyle w:val="16"/>
          <w:rFonts w:hint="eastAsia" w:ascii="黑体" w:hAnsi="黑体" w:eastAsia="黑体"/>
          <w:b w:val="0"/>
          <w:bCs w:val="0"/>
          <w:color w:val="000000"/>
        </w:rPr>
        <w:t xml:space="preserve">第四章 </w:t>
      </w:r>
      <w:bookmarkEnd w:id="49"/>
      <w:bookmarkEnd w:id="50"/>
      <w:bookmarkEnd w:id="51"/>
      <w:bookmarkEnd w:id="52"/>
      <w:bookmarkEnd w:id="53"/>
      <w:bookmarkEnd w:id="54"/>
      <w:r>
        <w:rPr>
          <w:rStyle w:val="16"/>
          <w:rFonts w:hint="eastAsia" w:ascii="黑体" w:hAnsi="黑体" w:eastAsia="黑体"/>
          <w:b w:val="0"/>
          <w:bCs w:val="0"/>
          <w:color w:val="000000"/>
        </w:rPr>
        <w:t>响应文件格式</w:t>
      </w:r>
    </w:p>
    <w:bookmarkEnd w:id="55"/>
    <w:p>
      <w:pPr>
        <w:pStyle w:val="15"/>
        <w:ind w:firstLine="560"/>
        <w:jc w:val="center"/>
        <w:outlineLvl w:val="0"/>
        <w:rPr>
          <w:color w:val="000000"/>
        </w:rPr>
      </w:pPr>
      <w:r>
        <w:rPr>
          <w:rFonts w:hint="eastAsia"/>
          <w:color w:val="000000"/>
        </w:rPr>
        <w:t xml:space="preserve">                                               </w:t>
      </w: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spacing w:line="800" w:lineRule="exact"/>
        <w:ind w:firstLine="723"/>
        <w:jc w:val="center"/>
        <w:outlineLvl w:val="0"/>
        <w:rPr>
          <w:rFonts w:hint="eastAsia" w:ascii="宋体" w:hAnsi="宋体" w:eastAsia="宋体" w:cs="宋体"/>
          <w:color w:val="000000"/>
          <w:sz w:val="48"/>
          <w:szCs w:val="48"/>
          <w:lang w:val="en-US" w:eastAsia="zh-CN"/>
        </w:rPr>
      </w:pPr>
      <w:bookmarkStart w:id="56" w:name="_Toc15979"/>
      <w:bookmarkStart w:id="57" w:name="_Toc37778967"/>
      <w:bookmarkStart w:id="58" w:name="_Toc8306"/>
      <w:r>
        <w:rPr>
          <w:rFonts w:hint="eastAsia" w:ascii="宋体" w:hAnsi="宋体" w:eastAsia="宋体" w:cs="宋体"/>
          <w:color w:val="000000"/>
          <w:sz w:val="48"/>
          <w:szCs w:val="48"/>
          <w:lang w:val="en-US" w:eastAsia="zh-CN"/>
        </w:rPr>
        <w:t>桂林洋工业区市政基地（国盛红木产业园北侧）改造混凝土采购</w:t>
      </w:r>
    </w:p>
    <w:p>
      <w:pPr>
        <w:pStyle w:val="15"/>
        <w:spacing w:line="800" w:lineRule="exact"/>
        <w:ind w:firstLine="723"/>
        <w:jc w:val="center"/>
        <w:outlineLvl w:val="0"/>
        <w:rPr>
          <w:rFonts w:ascii="宋体" w:hAnsi="宋体" w:cs="宋体"/>
          <w:color w:val="000000"/>
          <w:sz w:val="48"/>
          <w:szCs w:val="48"/>
        </w:rPr>
      </w:pPr>
      <w:r>
        <w:rPr>
          <w:rFonts w:hint="eastAsia" w:ascii="宋体" w:hAnsi="宋体" w:cs="宋体"/>
          <w:color w:val="000000"/>
          <w:sz w:val="48"/>
          <w:szCs w:val="48"/>
        </w:rPr>
        <w:t>响应文件</w:t>
      </w:r>
      <w:bookmarkEnd w:id="56"/>
      <w:bookmarkEnd w:id="57"/>
      <w:bookmarkEnd w:id="58"/>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ascii="宋体" w:hAnsi="宋体" w:cs="黑体"/>
          <w:color w:val="000000"/>
          <w:sz w:val="28"/>
          <w:szCs w:val="28"/>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u w:val="single"/>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pPr>
        <w:pStyle w:val="15"/>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pPr>
        <w:pStyle w:val="15"/>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247514249"/>
      <w:bookmarkStart w:id="62" w:name="_Toc37778970"/>
      <w:bookmarkStart w:id="63" w:name="_Toc1426"/>
      <w:bookmarkStart w:id="64" w:name="_Toc144974859"/>
      <w:bookmarkStart w:id="65" w:name="_Toc247527830"/>
      <w:bookmarkStart w:id="66" w:name="_Toc485981787"/>
      <w:bookmarkStart w:id="67" w:name="_Toc152042579"/>
      <w:bookmarkStart w:id="68" w:name="_Toc152045790"/>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pPr>
        <w:pStyle w:val="15"/>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pPr>
        <w:pStyle w:val="15"/>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pPr>
        <w:pStyle w:val="15"/>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bCs/>
          <w:color w:val="000000"/>
          <w:sz w:val="24"/>
          <w:u w:val="single"/>
          <w:lang w:val="zh-CN"/>
        </w:rPr>
        <w:t>桂林洋工业区市政基地（国盛红木产业园北侧）改造混凝土采购</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pPr>
        <w:pStyle w:val="15"/>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bCs/>
          <w:color w:val="000000"/>
          <w:sz w:val="24"/>
          <w:u w:val="single"/>
          <w:lang w:val="en-US" w:eastAsia="zh-CN"/>
        </w:rPr>
        <w:t>混凝土</w:t>
      </w:r>
      <w:r>
        <w:rPr>
          <w:rFonts w:hint="eastAsia" w:ascii="宋体" w:hAnsi="宋体"/>
          <w:bCs/>
          <w:color w:val="000000"/>
          <w:sz w:val="24"/>
          <w:u w:val="single"/>
          <w:lang w:val="zh-CN"/>
        </w:rPr>
        <w:t>采购</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lang w:val="en-US" w:eastAsia="zh-CN"/>
        </w:rPr>
        <w:t xml:space="preserve"> </w:t>
      </w:r>
      <w:r>
        <w:rPr>
          <w:rFonts w:hint="eastAsia" w:ascii="宋体" w:hAnsi="宋体"/>
          <w:bCs/>
          <w:color w:val="000000"/>
          <w:sz w:val="24"/>
          <w:u w:val="single"/>
          <w:lang w:val="zh-CN"/>
        </w:rPr>
        <w:t>混凝土采购</w:t>
      </w:r>
      <w:r>
        <w:rPr>
          <w:rFonts w:hint="eastAsia" w:ascii="宋体" w:hAnsi="宋体"/>
          <w:bCs/>
          <w:color w:val="000000"/>
          <w:sz w:val="24"/>
          <w:u w:val="none"/>
          <w:lang w:val="en-US" w:eastAsia="zh-CN"/>
        </w:rPr>
        <w:t xml:space="preserve"> </w:t>
      </w:r>
      <w:r>
        <w:rPr>
          <w:rFonts w:hint="eastAsia" w:ascii="宋体" w:hAnsi="宋体" w:cs="宋体"/>
          <w:color w:val="000000"/>
          <w:sz w:val="24"/>
        </w:rPr>
        <w:t>工作及相关服务的费用，</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bCs/>
          <w:color w:val="000000"/>
          <w:sz w:val="24"/>
          <w:u w:val="single"/>
          <w:lang w:val="en-US" w:eastAsia="zh-CN"/>
        </w:rPr>
        <w:t>根据施工进度同步进行</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rPr>
        <w:t>合格</w:t>
      </w:r>
      <w:r>
        <w:rPr>
          <w:rFonts w:hint="eastAsia" w:ascii="宋体" w:hAnsi="宋体" w:cs="宋体"/>
          <w:color w:val="000000"/>
          <w:sz w:val="24"/>
        </w:rPr>
        <w:t>；</w:t>
      </w:r>
    </w:p>
    <w:p>
      <w:pPr>
        <w:pStyle w:val="15"/>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pPr>
        <w:pStyle w:val="15"/>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pPr>
        <w:pStyle w:val="15"/>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b/>
          <w:bCs/>
          <w:kern w:val="0"/>
          <w:sz w:val="24"/>
          <w:u w:val="single"/>
        </w:rPr>
        <w:t xml:space="preserve"> </w:t>
      </w:r>
      <w:r>
        <w:rPr>
          <w:rFonts w:ascii="宋体" w:hAnsi="宋体" w:cs="宋体"/>
          <w:kern w:val="0"/>
          <w:sz w:val="24"/>
          <w:u w:val="single"/>
        </w:rPr>
        <w:t>60</w:t>
      </w:r>
      <w:r>
        <w:rPr>
          <w:rFonts w:ascii="宋体" w:hAnsi="宋体" w:cs="宋体"/>
          <w:b/>
          <w:bCs/>
          <w:kern w:val="0"/>
          <w:sz w:val="24"/>
          <w:u w:val="single"/>
        </w:rPr>
        <w:t xml:space="preserve"> </w:t>
      </w:r>
      <w:r>
        <w:rPr>
          <w:rFonts w:ascii="宋体" w:hAnsi="宋体" w:cs="宋体"/>
          <w:sz w:val="24"/>
        </w:rPr>
        <w:t>日历日。报价有效期满之前均具有约束力。</w:t>
      </w:r>
    </w:p>
    <w:p>
      <w:pPr>
        <w:pStyle w:val="15"/>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pPr>
        <w:pStyle w:val="15"/>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pPr>
        <w:pStyle w:val="15"/>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480"/>
        <w:rPr>
          <w:rFonts w:ascii="宋体" w:hAnsi="宋体" w:cs="宋体"/>
          <w:b/>
          <w:bCs/>
          <w:kern w:val="0"/>
          <w:sz w:val="24"/>
          <w:u w:val="single"/>
        </w:rPr>
      </w:pPr>
    </w:p>
    <w:p>
      <w:pPr>
        <w:pStyle w:val="15"/>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pPr>
        <w:pStyle w:val="15"/>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bookmarkEnd w:id="61"/>
    <w:bookmarkEnd w:id="62"/>
    <w:bookmarkEnd w:id="63"/>
    <w:bookmarkEnd w:id="64"/>
    <w:bookmarkEnd w:id="65"/>
    <w:bookmarkEnd w:id="66"/>
    <w:bookmarkEnd w:id="67"/>
    <w:bookmarkEnd w:id="68"/>
    <w:p>
      <w:pPr>
        <w:pStyle w:val="15"/>
        <w:jc w:val="center"/>
        <w:rPr>
          <w:rFonts w:hint="eastAsia" w:ascii="黑体" w:hAnsi="黑体" w:eastAsia="黑体" w:cs="宋体"/>
          <w:sz w:val="32"/>
          <w:szCs w:val="32"/>
        </w:rPr>
        <w:sectPr>
          <w:pgSz w:w="11906" w:h="16838"/>
          <w:pgMar w:top="1440" w:right="1800" w:bottom="1440" w:left="1800" w:header="851" w:footer="992" w:gutter="0"/>
          <w:cols w:space="720" w:num="1"/>
          <w:docGrid w:type="lines" w:linePitch="312" w:charSpace="0"/>
        </w:sectPr>
      </w:pPr>
      <w:bookmarkStart w:id="69" w:name="_Toc247527831"/>
      <w:bookmarkStart w:id="70" w:name="_Toc247514283"/>
      <w:bookmarkStart w:id="71" w:name="_Toc1330"/>
      <w:bookmarkStart w:id="72" w:name="_Toc152042580"/>
      <w:bookmarkStart w:id="73" w:name="_Toc152045791"/>
      <w:bookmarkStart w:id="74" w:name="_Toc144974860"/>
      <w:bookmarkStart w:id="75" w:name="_Toc485981788"/>
      <w:bookmarkStart w:id="76" w:name="_Toc37778971"/>
    </w:p>
    <w:p>
      <w:pPr>
        <w:pStyle w:val="15"/>
        <w:jc w:val="center"/>
        <w:rPr>
          <w:rFonts w:hint="default" w:ascii="黑体" w:hAnsi="黑体" w:eastAsia="黑体" w:cs="宋体"/>
          <w:sz w:val="32"/>
          <w:szCs w:val="32"/>
          <w:lang w:val="en-US" w:eastAsia="zh-CN"/>
        </w:rPr>
      </w:pP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二</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报价清单</w:t>
      </w:r>
    </w:p>
    <w:tbl>
      <w:tblPr>
        <w:tblStyle w:val="10"/>
        <w:tblpPr w:leftFromText="180" w:rightFromText="180" w:vertAnchor="text" w:horzAnchor="page" w:tblpX="1050" w:tblpY="41"/>
        <w:tblOverlap w:val="never"/>
        <w:tblW w:w="148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2311"/>
        <w:gridCol w:w="3883"/>
        <w:gridCol w:w="1467"/>
        <w:gridCol w:w="1083"/>
        <w:gridCol w:w="1967"/>
        <w:gridCol w:w="2050"/>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清单项目</w:t>
            </w:r>
          </w:p>
        </w:tc>
        <w:tc>
          <w:tcPr>
            <w:tcW w:w="3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工程量</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0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报价（不含税）</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3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3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3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混凝土</w:t>
            </w:r>
          </w:p>
        </w:tc>
        <w:tc>
          <w:tcPr>
            <w:tcW w:w="3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C25</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600.00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立方米</w:t>
            </w:r>
          </w:p>
        </w:tc>
        <w:tc>
          <w:tcPr>
            <w:tcW w:w="1967" w:type="dxa"/>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default" w:ascii="宋体" w:hAnsi="宋体" w:eastAsia="宋体" w:cs="宋体"/>
                <w:i w:val="0"/>
                <w:iCs w:val="0"/>
                <w:color w:val="000000"/>
                <w:sz w:val="24"/>
                <w:szCs w:val="24"/>
                <w:u w:val="none"/>
                <w:lang w:val="en-US" w:eastAsia="zh-CN"/>
              </w:rPr>
            </w:pP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24"/>
                <w:szCs w:val="24"/>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2</w:t>
            </w:r>
          </w:p>
        </w:tc>
        <w:tc>
          <w:tcPr>
            <w:tcW w:w="1071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不含税合计（元）</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bCs/>
                <w:i w:val="0"/>
                <w:iCs w:val="0"/>
                <w:color w:val="000000"/>
                <w:sz w:val="24"/>
                <w:szCs w:val="24"/>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3</w:t>
            </w:r>
          </w:p>
        </w:tc>
        <w:tc>
          <w:tcPr>
            <w:tcW w:w="107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税率</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trike/>
                <w:color w:val="000000"/>
                <w:sz w:val="24"/>
                <w:szCs w:val="24"/>
              </w:rPr>
            </w:pPr>
            <w:r>
              <w:rPr>
                <w:rFonts w:hint="eastAsia" w:ascii="宋体" w:hAnsi="宋体" w:eastAsia="宋体" w:cs="宋体"/>
                <w:b/>
                <w:bCs/>
                <w:i w:val="0"/>
                <w:iCs w:val="0"/>
                <w:strike w:val="0"/>
                <w:dstrike w:val="0"/>
                <w:color w:val="000000"/>
                <w:kern w:val="0"/>
                <w:sz w:val="24"/>
                <w:szCs w:val="24"/>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4</w:t>
            </w:r>
          </w:p>
        </w:tc>
        <w:tc>
          <w:tcPr>
            <w:tcW w:w="107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税金(元)</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bCs/>
                <w:i w:val="0"/>
                <w:iCs w:val="0"/>
                <w:color w:val="000000"/>
                <w:sz w:val="24"/>
                <w:szCs w:val="24"/>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5</w:t>
            </w:r>
          </w:p>
        </w:tc>
        <w:tc>
          <w:tcPr>
            <w:tcW w:w="107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含税总价(元)</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bl>
    <w:p>
      <w:pPr>
        <w:numPr>
          <w:ilvl w:val="0"/>
          <w:numId w:val="0"/>
        </w:numPr>
        <w:spacing w:line="240" w:lineRule="auto"/>
        <w:ind w:left="0" w:leftChars="0" w:firstLine="480" w:firstLineChars="200"/>
        <w:jc w:val="left"/>
        <w:rPr>
          <w:rFonts w:hint="eastAsia" w:ascii="宋体" w:hAnsi="宋体" w:eastAsia="宋体" w:cs="宋体"/>
          <w:b w:val="0"/>
          <w:bCs w:val="0"/>
          <w:color w:val="auto"/>
          <w:kern w:val="2"/>
          <w:sz w:val="24"/>
          <w:szCs w:val="24"/>
          <w:lang w:val="en-US" w:eastAsia="zh-CN" w:bidi="ar-SA"/>
        </w:rPr>
      </w:pP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注：</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1.所报单价为不含税综合单价，包含但不限于除税金之外的一切费用（如运输费、装卸费等），后续除税金之外不在调整，税金按国家相关政策执行；</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.报价可保留两位小数。</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.计划购货期：</w:t>
      </w:r>
      <w:r>
        <w:rPr>
          <w:rFonts w:hint="eastAsia" w:ascii="宋体" w:hAnsi="宋体"/>
          <w:bCs/>
          <w:color w:val="000000"/>
          <w:sz w:val="24"/>
          <w:u w:val="none"/>
          <w:lang w:val="en-US" w:eastAsia="zh-CN"/>
        </w:rPr>
        <w:t>根据施工进度同步进行。</w:t>
      </w:r>
    </w:p>
    <w:p>
      <w:pPr>
        <w:numPr>
          <w:ilvl w:val="0"/>
          <w:numId w:val="0"/>
        </w:numPr>
        <w:spacing w:line="240" w:lineRule="auto"/>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4.工程量暂计，结算以甲方结算审核给予的工程量为准。</w:t>
      </w:r>
    </w:p>
    <w:p>
      <w:pPr>
        <w:pStyle w:val="15"/>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供应商：</w:t>
      </w:r>
      <w:r>
        <w:rPr>
          <w:rFonts w:hint="eastAsia" w:ascii="宋体" w:hAnsi="宋体" w:eastAsia="宋体" w:cs="宋体"/>
          <w:color w:val="000000"/>
          <w:sz w:val="24"/>
          <w:u w:val="single"/>
          <w:lang w:val="zh-CN" w:eastAsia="zh-CN"/>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（盖单位章）</w:t>
      </w:r>
    </w:p>
    <w:p>
      <w:pPr>
        <w:pStyle w:val="15"/>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年</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月</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日</w:t>
      </w:r>
    </w:p>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宋体"/>
          <w:sz w:val="32"/>
          <w:szCs w:val="32"/>
        </w:rPr>
        <w:sectPr>
          <w:pgSz w:w="16838" w:h="11906" w:orient="landscape"/>
          <w:pgMar w:top="1179" w:right="1440" w:bottom="1123" w:left="1440" w:header="851" w:footer="992" w:gutter="0"/>
          <w:cols w:space="0" w:num="1"/>
          <w:rtlGutter w:val="0"/>
          <w:docGrid w:type="lines" w:linePitch="319" w:charSpace="0"/>
        </w:sectPr>
      </w:pPr>
    </w:p>
    <w:p>
      <w:pPr>
        <w:pStyle w:val="15"/>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pPr>
        <w:pStyle w:val="15"/>
        <w:ind w:firstLine="560"/>
      </w:pPr>
    </w:p>
    <w:p>
      <w:pPr>
        <w:pStyle w:val="15"/>
        <w:ind w:firstLine="480"/>
        <w:rPr>
          <w:rFonts w:ascii="宋体" w:hAnsi="宋体" w:cs="宋体"/>
          <w:sz w:val="24"/>
          <w:szCs w:val="20"/>
        </w:rPr>
      </w:pPr>
      <w:r>
        <w:rPr>
          <w:rFonts w:hint="eastAsia" w:ascii="宋体" w:hAnsi="宋体" w:cs="宋体"/>
          <w:sz w:val="24"/>
          <w:szCs w:val="20"/>
        </w:rPr>
        <w:t>附：营业执照复印件。</w:t>
      </w:r>
    </w:p>
    <w:p>
      <w:pPr>
        <w:pStyle w:val="15"/>
        <w:ind w:firstLine="480"/>
        <w:rPr>
          <w:rFonts w:ascii="宋体" w:hAnsi="宋体" w:cs="宋体"/>
          <w:sz w:val="24"/>
          <w:szCs w:val="20"/>
        </w:rPr>
      </w:pPr>
    </w:p>
    <w:p>
      <w:pPr>
        <w:pStyle w:val="15"/>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pPr>
        <w:pStyle w:val="15"/>
        <w:ind w:firstLine="482"/>
        <w:rPr>
          <w:rFonts w:ascii="宋体" w:hAnsi="宋体" w:cs="宋体"/>
          <w:b/>
          <w:bCs/>
          <w:kern w:val="0"/>
          <w:sz w:val="24"/>
        </w:rPr>
      </w:pPr>
    </w:p>
    <w:p>
      <w:pPr>
        <w:pStyle w:val="15"/>
        <w:ind w:firstLine="482"/>
        <w:rPr>
          <w:rFonts w:ascii="宋体" w:hAnsi="宋体" w:cs="宋体"/>
          <w:b/>
          <w:bCs/>
          <w:kern w:val="0"/>
          <w:sz w:val="24"/>
        </w:rPr>
      </w:pPr>
    </w:p>
    <w:p>
      <w:pPr>
        <w:pStyle w:val="15"/>
        <w:ind w:firstLine="482"/>
        <w:rPr>
          <w:rFonts w:ascii="宋体" w:hAnsi="宋体" w:cs="宋体"/>
          <w:b/>
          <w:bCs/>
          <w:kern w:val="0"/>
          <w:sz w:val="24"/>
        </w:rPr>
      </w:pPr>
    </w:p>
    <w:p>
      <w:pPr>
        <w:pStyle w:val="15"/>
        <w:ind w:firstLine="480"/>
        <w:rPr>
          <w:rFonts w:ascii="宋体" w:hAnsi="宋体" w:cs="宋体"/>
          <w:sz w:val="24"/>
          <w:szCs w:val="20"/>
        </w:rPr>
      </w:pPr>
    </w:p>
    <w:p>
      <w:pPr>
        <w:pStyle w:val="15"/>
        <w:ind w:firstLine="480"/>
        <w:rPr>
          <w:rFonts w:ascii="宋体" w:hAnsi="宋体" w:cs="宋体"/>
          <w:sz w:val="24"/>
          <w:szCs w:val="20"/>
        </w:rPr>
      </w:pPr>
    </w:p>
    <w:p>
      <w:pPr>
        <w:pStyle w:val="15"/>
        <w:ind w:firstLine="480"/>
        <w:rPr>
          <w:rFonts w:ascii="宋体" w:hAnsi="宋体" w:cs="宋体"/>
          <w:sz w:val="24"/>
          <w:szCs w:val="20"/>
        </w:rPr>
      </w:pPr>
    </w:p>
    <w:p>
      <w:pPr>
        <w:pStyle w:val="15"/>
        <w:ind w:firstLine="480"/>
        <w:rPr>
          <w:rFonts w:ascii="宋体" w:hAnsi="宋体" w:cs="宋体"/>
          <w:sz w:val="24"/>
          <w:szCs w:val="20"/>
        </w:rPr>
      </w:pPr>
    </w:p>
    <w:p>
      <w:pPr>
        <w:pStyle w:val="15"/>
        <w:ind w:firstLine="1200" w:firstLineChars="500"/>
        <w:jc w:val="right"/>
        <w:rPr>
          <w:b/>
          <w:bCs/>
        </w:rPr>
      </w:pP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（盖单位章）</w:t>
      </w:r>
    </w:p>
    <w:p>
      <w:pPr>
        <w:pStyle w:val="15"/>
        <w:ind w:firstLine="1205" w:firstLineChars="500"/>
        <w:jc w:val="right"/>
        <w:rPr>
          <w:rFonts w:ascii="宋体" w:hAnsi="宋体" w:cs="宋体"/>
          <w:sz w:val="24"/>
        </w:rPr>
      </w:pP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bookmarkEnd w:id="69"/>
    <w:bookmarkEnd w:id="70"/>
    <w:bookmarkEnd w:id="71"/>
    <w:bookmarkEnd w:id="72"/>
    <w:bookmarkEnd w:id="73"/>
    <w:bookmarkEnd w:id="74"/>
    <w:bookmarkEnd w:id="75"/>
    <w:bookmarkEnd w:id="76"/>
    <w:p>
      <w:pPr>
        <w:pStyle w:val="15"/>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pPr>
        <w:pStyle w:val="15"/>
        <w:jc w:val="center"/>
        <w:outlineLvl w:val="0"/>
        <w:rPr>
          <w:rFonts w:ascii="仿宋_GB2312" w:eastAsia="仿宋_GB2312" w:cs="仿宋_GB2312"/>
          <w:sz w:val="32"/>
          <w:szCs w:val="32"/>
          <w:lang w:bidi="ar"/>
        </w:rPr>
      </w:pPr>
    </w:p>
    <w:p>
      <w:pPr>
        <w:pStyle w:val="15"/>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pPr>
        <w:pStyle w:val="15"/>
        <w:ind w:firstLine="560"/>
        <w:rPr>
          <w:rFonts w:hint="eastAsia"/>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pPr>
        <w:pStyle w:val="15"/>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both"/>
        <w:outlineLvl w:val="0"/>
        <w:rPr>
          <w:rFonts w:ascii="仿宋_GB2312" w:eastAsia="仿宋_GB2312" w:cs="仿宋_GB2312"/>
          <w:sz w:val="32"/>
          <w:szCs w:val="32"/>
          <w:lang w:bidi="ar"/>
        </w:rPr>
      </w:pPr>
    </w:p>
    <w:p>
      <w:pPr>
        <w:pStyle w:val="15"/>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pPr>
        <w:pStyle w:val="15"/>
        <w:ind w:firstLine="560"/>
        <w:rPr>
          <w:rFonts w:cs="宋体"/>
          <w:szCs w:val="21"/>
        </w:rPr>
      </w:pPr>
    </w:p>
    <w:p>
      <w:pPr>
        <w:pStyle w:val="15"/>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系</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kern w:val="0"/>
          <w:sz w:val="24"/>
          <w:u w:val="single"/>
        </w:rPr>
        <w:t>（采购</w:t>
      </w:r>
      <w:r>
        <w:rPr>
          <w:rFonts w:hint="eastAsia" w:ascii="宋体" w:hAnsi="宋体" w:cs="宋体"/>
          <w:sz w:val="24"/>
          <w:szCs w:val="20"/>
          <w:u w:val="single"/>
        </w:rPr>
        <w:t>项目名称）</w:t>
      </w:r>
      <w:r>
        <w:rPr>
          <w:rFonts w:ascii="宋体" w:hAnsi="宋体" w:cs="宋体"/>
          <w:b/>
          <w:bCs/>
          <w:kern w:val="0"/>
          <w:sz w:val="24"/>
          <w:u w:val="single"/>
        </w:rPr>
        <w:t xml:space="preserve">  </w:t>
      </w:r>
      <w:r>
        <w:rPr>
          <w:rFonts w:hint="eastAsia" w:ascii="宋体" w:hAnsi="宋体" w:cs="宋体"/>
          <w:sz w:val="24"/>
          <w:szCs w:val="20"/>
        </w:rPr>
        <w:t>的响应文件、签订合同和处理有关事宜，其法律后果由我方承担。</w:t>
      </w:r>
    </w:p>
    <w:p>
      <w:pPr>
        <w:pStyle w:val="15"/>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w:t>
      </w:r>
    </w:p>
    <w:p>
      <w:pPr>
        <w:pStyle w:val="15"/>
        <w:spacing w:line="360" w:lineRule="auto"/>
        <w:ind w:firstLine="480"/>
        <w:rPr>
          <w:rFonts w:ascii="宋体" w:hAnsi="宋体" w:cs="宋体"/>
          <w:sz w:val="24"/>
          <w:szCs w:val="20"/>
        </w:rPr>
      </w:pPr>
      <w:r>
        <w:rPr>
          <w:rFonts w:hint="eastAsia" w:ascii="宋体" w:hAnsi="宋体" w:cs="宋体"/>
          <w:sz w:val="24"/>
          <w:szCs w:val="20"/>
        </w:rPr>
        <w:t>委托代理人无转委托权。</w:t>
      </w:r>
    </w:p>
    <w:p>
      <w:pPr>
        <w:pStyle w:val="15"/>
        <w:spacing w:line="360" w:lineRule="auto"/>
        <w:ind w:firstLine="480"/>
        <w:rPr>
          <w:rFonts w:ascii="宋体" w:hAnsi="宋体" w:cs="宋体"/>
          <w:sz w:val="24"/>
          <w:szCs w:val="20"/>
        </w:rPr>
      </w:pPr>
    </w:p>
    <w:p>
      <w:pPr>
        <w:pStyle w:val="15"/>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pPr>
        <w:pStyle w:val="15"/>
        <w:spacing w:line="360" w:lineRule="auto"/>
        <w:ind w:firstLine="482"/>
        <w:rPr>
          <w:rFonts w:ascii="宋体" w:hAnsi="宋体" w:cs="宋体"/>
          <w:sz w:val="24"/>
          <w:szCs w:val="20"/>
        </w:rPr>
      </w:pPr>
      <w:r>
        <w:rPr>
          <w:rFonts w:hint="eastAsia" w:ascii="宋体" w:hAnsi="宋体" w:cs="宋体"/>
          <w:b/>
          <w:bCs/>
          <w:sz w:val="24"/>
          <w:lang w:val="zh-CN"/>
        </w:rPr>
        <w:t xml:space="preserve"> </w:t>
      </w:r>
      <w:r>
        <w:rPr>
          <w:rFonts w:ascii="宋体" w:hAnsi="宋体" w:cs="宋体"/>
          <w:b/>
          <w:bCs/>
          <w:kern w:val="0"/>
          <w:sz w:val="24"/>
        </w:rPr>
        <w:t xml:space="preserve">                           </w:t>
      </w:r>
    </w:p>
    <w:p>
      <w:pPr>
        <w:pStyle w:val="15"/>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（盖单位章）</w:t>
      </w:r>
    </w:p>
    <w:p>
      <w:pPr>
        <w:pStyle w:val="15"/>
        <w:spacing w:line="360" w:lineRule="auto"/>
        <w:ind w:firstLine="480"/>
        <w:rPr>
          <w:rFonts w:ascii="宋体" w:hAnsi="宋体" w:cs="宋体"/>
          <w:sz w:val="24"/>
          <w:szCs w:val="20"/>
        </w:rPr>
      </w:pPr>
    </w:p>
    <w:p>
      <w:pPr>
        <w:pStyle w:val="15"/>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（签字或盖章）</w:t>
      </w:r>
    </w:p>
    <w:p>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pPr>
        <w:pStyle w:val="15"/>
        <w:spacing w:line="360" w:lineRule="auto"/>
        <w:ind w:firstLine="199" w:firstLineChars="83"/>
        <w:rPr>
          <w:rFonts w:ascii="宋体" w:hAnsi="宋体" w:cs="宋体"/>
          <w:sz w:val="24"/>
          <w:szCs w:val="20"/>
          <w:u w:val="single"/>
        </w:rPr>
      </w:pPr>
    </w:p>
    <w:p>
      <w:pPr>
        <w:pStyle w:val="15"/>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w:t>
      </w:r>
    </w:p>
    <w:p>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2"/>
        <w:jc w:val="right"/>
        <w:rPr>
          <w:rFonts w:ascii="宋体" w:hAnsi="宋体" w:cs="宋体"/>
          <w:sz w:val="24"/>
          <w:szCs w:val="20"/>
        </w:rPr>
      </w:pPr>
      <w:r>
        <w:rPr>
          <w:rFonts w:ascii="宋体" w:hAnsi="宋体" w:cs="宋体"/>
          <w:b/>
          <w:bCs/>
          <w:kern w:val="0"/>
          <w:sz w:val="24"/>
          <w:u w:val="single"/>
        </w:rPr>
        <w:t xml:space="preserve">       </w:t>
      </w:r>
      <w:r>
        <w:rPr>
          <w:rFonts w:hint="eastAsia" w:ascii="宋体" w:hAnsi="宋体" w:cs="宋体"/>
          <w:sz w:val="24"/>
          <w:szCs w:val="20"/>
        </w:rPr>
        <w:t>年</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月</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日</w:t>
      </w: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pPr>
        <w:pStyle w:val="15"/>
        <w:ind w:firstLine="0" w:firstLineChars="0"/>
        <w:rPr>
          <w:rFonts w:ascii="宋体" w:hAnsi="宋体" w:eastAsia="宋体" w:cs="宋体"/>
          <w:sz w:val="24"/>
          <w:szCs w:val="20"/>
        </w:rPr>
      </w:pPr>
    </w:p>
    <w:p>
      <w:pPr>
        <w:pStyle w:val="15"/>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lang w:val="en-US" w:eastAsia="zh-CN"/>
        </w:rPr>
        <w:t>海南省桂林洋公用事业发展有限公司</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pPr>
        <w:spacing w:line="360" w:lineRule="auto"/>
        <w:jc w:val="center"/>
        <w:rPr>
          <w:rFonts w:hint="eastAsia" w:ascii="宋体" w:hAnsi="宋体" w:eastAsia="仿宋_GB2312" w:cs="宋体"/>
          <w:b/>
          <w:bCs/>
          <w:sz w:val="28"/>
          <w:szCs w:val="28"/>
        </w:rPr>
      </w:pPr>
    </w:p>
    <w:p>
      <w:pPr>
        <w:spacing w:line="360" w:lineRule="auto"/>
        <w:jc w:val="center"/>
        <w:rPr>
          <w:rFonts w:hint="eastAsia" w:ascii="宋体" w:hAnsi="宋体" w:eastAsia="仿宋_GB2312" w:cs="宋体"/>
          <w:b/>
          <w:bCs/>
          <w:sz w:val="28"/>
          <w:szCs w:val="28"/>
        </w:rPr>
      </w:pPr>
    </w:p>
    <w:p>
      <w:pPr>
        <w:spacing w:line="360" w:lineRule="auto"/>
        <w:jc w:val="center"/>
        <w:rPr>
          <w:rFonts w:hint="eastAsia" w:ascii="宋体" w:hAnsi="宋体" w:eastAsia="仿宋_GB2312" w:cs="宋体"/>
          <w:b/>
          <w:bCs/>
          <w:sz w:val="28"/>
          <w:szCs w:val="28"/>
        </w:rPr>
      </w:pPr>
    </w:p>
    <w:p>
      <w:pPr>
        <w:pStyle w:val="15"/>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500" w:lineRule="atLeast"/>
        <w:jc w:val="right"/>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pPr>
        <w:pStyle w:val="15"/>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仿宋_GB2312" w:cs="宋体"/>
          <w:b/>
          <w:bCs/>
          <w:sz w:val="28"/>
          <w:szCs w:val="28"/>
        </w:rPr>
        <w:br w:type="page"/>
      </w:r>
      <w:r>
        <w:rPr>
          <w:rFonts w:hint="eastAsia" w:ascii="宋体" w:hAnsi="宋体" w:eastAsia="宋体" w:cs="宋体"/>
          <w:b/>
          <w:bCs/>
          <w:sz w:val="28"/>
          <w:szCs w:val="28"/>
          <w:highlight w:val="none"/>
          <w:lang w:val="en-US" w:eastAsia="zh-CN"/>
        </w:rPr>
        <w:t>供应商信用承诺函</w:t>
      </w:r>
    </w:p>
    <w:p>
      <w:pPr>
        <w:pStyle w:val="15"/>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u w:val="singl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海南省桂林洋公用事业发展有限公司​</w:t>
      </w:r>
    </w:p>
    <w:p>
      <w:pPr>
        <w:pStyle w:val="15"/>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w:t>
      </w:r>
      <w:r>
        <w:rPr>
          <w:rFonts w:hint="eastAsia" w:ascii="宋体" w:hAnsi="宋体" w:eastAsia="宋体" w:cs="Times New Roman"/>
          <w:sz w:val="24"/>
          <w:szCs w:val="24"/>
          <w:highlight w:val="none"/>
          <w:u w:val="single"/>
          <w:lang w:val="en-US" w:eastAsia="zh-CN"/>
        </w:rPr>
        <w:t>供应商</w:t>
      </w:r>
      <w:r>
        <w:rPr>
          <w:rFonts w:hint="default" w:ascii="宋体" w:hAnsi="宋体" w:eastAsia="宋体" w:cs="Times New Roman"/>
          <w:sz w:val="24"/>
          <w:szCs w:val="24"/>
          <w:highlight w:val="none"/>
          <w:u w:val="single"/>
          <w:lang w:val="en-US" w:eastAsia="zh-CN"/>
        </w:rPr>
        <w:t>名称]</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u w:val="single"/>
          <w:lang w:val="en-US" w:eastAsia="zh-CN"/>
        </w:rPr>
        <w:t xml:space="preserve"> 桂林洋工业区市政基地（国盛红木产业园北侧）改造混凝土采购 </w:t>
      </w:r>
      <w:r>
        <w:rPr>
          <w:rFonts w:hint="eastAsia" w:ascii="宋体" w:hAnsi="宋体" w:eastAsia="宋体" w:cs="Times New Roman"/>
          <w:sz w:val="24"/>
          <w:szCs w:val="24"/>
          <w:highlight w:val="none"/>
          <w:lang w:val="en-US" w:eastAsia="zh-CN"/>
        </w:rPr>
        <w:t>竞价比选</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lang w:val="en-US" w:eastAsia="zh-CN"/>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项目的部分主体、关键性工作分包给他人的，或者分包人再次分包的</w:t>
      </w:r>
      <w:r>
        <w:rPr>
          <w:rFonts w:hint="eastAsia" w:ascii="宋体" w:hAnsi="宋体" w:eastAsia="宋体" w:cs="Times New Roman"/>
          <w:sz w:val="24"/>
          <w:szCs w:val="24"/>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lang w:val="en-US" w:eastAsia="zh-CN"/>
        </w:rPr>
        <w:t>人无正当理由不与</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订立合同，在签订合同时向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文件要求提交履约保证金的；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（七）拒绝有关部门监督检查或者提供虚假情况的；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（十一）框架协议采购项目在框架协议期内拒绝接受采购订单数量达3个的；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（十三）因供应商自身或其分包单位原因在项目实施过程中产生上访、围堵、重大舆情等恶性事件，影响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或子公司声誉的；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（十五）报价失误、漏项导致合同无法履行，又不接受调价或终止合同的；</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（十六）其他违反国家法律、法规行为的。</w:t>
      </w:r>
    </w:p>
    <w:p>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pPr>
        <w:pStyle w:val="15"/>
        <w:spacing w:line="360" w:lineRule="auto"/>
        <w:ind w:left="0" w:leftChars="0" w:firstLine="0" w:firstLineChars="0"/>
        <w:rPr>
          <w:rFonts w:hint="default" w:ascii="宋体" w:hAnsi="宋体" w:eastAsia="宋体" w:cs="Times New Roman"/>
          <w:sz w:val="24"/>
          <w:szCs w:val="24"/>
          <w:highlight w:val="none"/>
          <w:lang w:val="en-US" w:eastAsia="zh-CN"/>
        </w:rPr>
      </w:pPr>
    </w:p>
    <w:p>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供应商：</w:t>
      </w:r>
      <w:r>
        <w:rPr>
          <w:rFonts w:hint="eastAsia" w:ascii="宋体" w:hAnsi="宋体" w:eastAsia="宋体" w:cs="Times New Roman"/>
          <w:sz w:val="24"/>
          <w:szCs w:val="24"/>
          <w:highlight w:val="none"/>
          <w:u w:val="single"/>
          <w:lang w:val="zh-CN"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（盖单位章）</w:t>
      </w:r>
    </w:p>
    <w:p>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法定代表人或其委托代理人</w:t>
      </w:r>
      <w:r>
        <w:rPr>
          <w:rFonts w:hint="eastAsia" w:ascii="宋体" w:hAnsi="宋体" w:eastAsia="宋体" w:cs="Times New Roman"/>
          <w:sz w:val="24"/>
          <w:szCs w:val="24"/>
          <w:highlight w:val="none"/>
          <w:u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（签字）</w:t>
      </w:r>
    </w:p>
    <w:p>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月</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日</w:t>
      </w:r>
    </w:p>
    <w:p>
      <w:pPr>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pPr>
        <w:spacing w:line="360" w:lineRule="auto"/>
        <w:ind w:firstLine="480" w:firstLineChars="200"/>
        <w:rPr>
          <w:rFonts w:ascii="宋体" w:hAnsi="宋体" w:eastAsia="仿宋_GB2312" w:cs="宋体"/>
          <w:sz w:val="24"/>
        </w:rPr>
      </w:pPr>
      <w:bookmarkStart w:id="80" w:name="_GoBack"/>
      <w:bookmarkEnd w:id="80"/>
    </w:p>
    <w:p>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完全明晰且认可比选文件及相关补遗、澄清、更正文件（如有）中涉及竞价比选采购代理服务费金额、方式及支付方法等内容的有关规定。并做出承诺如下：</w:t>
      </w:r>
    </w:p>
    <w:p>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rPr>
        <w:t>桂林洋工业区市政基地（国盛红木产业园北侧）改造混凝土采购</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保证本比选项目在成交通知书发出之日起15个工作日内将竞价比选采购代理服务费一次性全额支付给贵司。</w:t>
      </w:r>
      <w:r>
        <w:rPr>
          <w:rFonts w:hint="eastAsia" w:ascii="宋体" w:hAnsi="宋体" w:eastAsia="仿宋_GB2312" w:cs="宋体"/>
          <w:bCs/>
          <w:sz w:val="24"/>
        </w:rPr>
        <w:t>如我司未能按时足额缴纳采购代理服务费，由此导致的一切后果由我司承担。</w:t>
      </w:r>
    </w:p>
    <w:p>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pPr>
              <w:spacing w:line="360" w:lineRule="auto"/>
              <w:ind w:firstLine="420" w:firstLineChars="200"/>
              <w:jc w:val="center"/>
              <w:rPr>
                <w:rFonts w:ascii="黑体" w:hAnsi="黑体" w:eastAsia="黑体" w:cs="黑体"/>
                <w:szCs w:val="21"/>
              </w:rPr>
            </w:pPr>
          </w:p>
        </w:tc>
        <w:tc>
          <w:tcPr>
            <w:tcW w:w="2754" w:type="dxa"/>
          </w:tcPr>
          <w:p>
            <w:pPr>
              <w:spacing w:line="360" w:lineRule="auto"/>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pPr>
              <w:spacing w:line="360" w:lineRule="auto"/>
              <w:ind w:firstLine="420" w:firstLineChars="200"/>
              <w:jc w:val="center"/>
              <w:rPr>
                <w:rFonts w:ascii="黑体" w:hAnsi="黑体" w:eastAsia="黑体" w:cs="黑体"/>
                <w:szCs w:val="21"/>
              </w:rPr>
            </w:pP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pPr>
              <w:spacing w:line="360" w:lineRule="auto"/>
              <w:ind w:firstLine="420" w:firstLineChars="200"/>
              <w:jc w:val="center"/>
              <w:rPr>
                <w:rFonts w:ascii="黑体" w:hAnsi="黑体" w:eastAsia="黑体" w:cs="黑体"/>
                <w:szCs w:val="21"/>
              </w:rPr>
            </w:pPr>
          </w:p>
        </w:tc>
        <w:tc>
          <w:tcPr>
            <w:tcW w:w="2754" w:type="dxa"/>
            <w:vAlign w:val="center"/>
          </w:tcPr>
          <w:p>
            <w:pPr>
              <w:spacing w:line="360" w:lineRule="auto"/>
              <w:ind w:firstLine="420" w:firstLineChars="200"/>
              <w:jc w:val="center"/>
              <w:rPr>
                <w:rFonts w:ascii="黑体" w:hAnsi="黑体" w:eastAsia="黑体" w:cs="黑体"/>
                <w:szCs w:val="21"/>
              </w:rPr>
            </w:pPr>
          </w:p>
        </w:tc>
      </w:tr>
    </w:tbl>
    <w:p>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ind w:firstLine="560"/>
                    </w:pPr>
                  </w:p>
                </w:txbxContent>
              </v:textbox>
            </v:shape>
          </w:pict>
        </mc:Fallback>
      </mc:AlternateConten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pPr>
      <w:pStyle w:val="6"/>
      <w:ind w:firstLine="360"/>
    </w:pPr>
  </w:p>
  <w:p>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6570" w:firstLineChars="3650"/>
    </w:pPr>
  </w:p>
  <w:p>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Tk5NmI3YmE3ZDhmNzlhNDQ4N2ZjZjViYjkzY2MifQ=="/>
  </w:docVars>
  <w:rsids>
    <w:rsidRoot w:val="6A603A61"/>
    <w:rsid w:val="0009639C"/>
    <w:rsid w:val="00275A58"/>
    <w:rsid w:val="003E2242"/>
    <w:rsid w:val="005B2FA3"/>
    <w:rsid w:val="00711831"/>
    <w:rsid w:val="007402CA"/>
    <w:rsid w:val="00860007"/>
    <w:rsid w:val="00B40815"/>
    <w:rsid w:val="00D000FA"/>
    <w:rsid w:val="00E944C4"/>
    <w:rsid w:val="00F52148"/>
    <w:rsid w:val="01054C1B"/>
    <w:rsid w:val="010613AE"/>
    <w:rsid w:val="045301F6"/>
    <w:rsid w:val="0C2A5CE1"/>
    <w:rsid w:val="0DDE4FD5"/>
    <w:rsid w:val="0E2150AD"/>
    <w:rsid w:val="0FB47CA9"/>
    <w:rsid w:val="0FD621EB"/>
    <w:rsid w:val="107C0AD5"/>
    <w:rsid w:val="10ED7BF8"/>
    <w:rsid w:val="11160F29"/>
    <w:rsid w:val="11407D54"/>
    <w:rsid w:val="12C90586"/>
    <w:rsid w:val="130062B2"/>
    <w:rsid w:val="19B0396B"/>
    <w:rsid w:val="19F31E08"/>
    <w:rsid w:val="1B2971BF"/>
    <w:rsid w:val="1F762BAF"/>
    <w:rsid w:val="20983709"/>
    <w:rsid w:val="23B95E70"/>
    <w:rsid w:val="24044C11"/>
    <w:rsid w:val="24253260"/>
    <w:rsid w:val="27F1061B"/>
    <w:rsid w:val="2A663F30"/>
    <w:rsid w:val="2C3F0EDD"/>
    <w:rsid w:val="2EAC4594"/>
    <w:rsid w:val="30D50061"/>
    <w:rsid w:val="31291D49"/>
    <w:rsid w:val="322F57FA"/>
    <w:rsid w:val="3404111E"/>
    <w:rsid w:val="357D4824"/>
    <w:rsid w:val="3BBA5408"/>
    <w:rsid w:val="3CCD2CF9"/>
    <w:rsid w:val="3D3D6D72"/>
    <w:rsid w:val="3EF1250A"/>
    <w:rsid w:val="3FB078CC"/>
    <w:rsid w:val="422B7AE1"/>
    <w:rsid w:val="435D77B9"/>
    <w:rsid w:val="449C0FB8"/>
    <w:rsid w:val="45C7169E"/>
    <w:rsid w:val="48547666"/>
    <w:rsid w:val="4BB200F6"/>
    <w:rsid w:val="4C793881"/>
    <w:rsid w:val="4FC11A85"/>
    <w:rsid w:val="503C55AF"/>
    <w:rsid w:val="50D91050"/>
    <w:rsid w:val="51695A51"/>
    <w:rsid w:val="52AE204A"/>
    <w:rsid w:val="53B35B89"/>
    <w:rsid w:val="54F977BF"/>
    <w:rsid w:val="55D50038"/>
    <w:rsid w:val="57450DE7"/>
    <w:rsid w:val="57FE04E3"/>
    <w:rsid w:val="58346B6C"/>
    <w:rsid w:val="58A50A18"/>
    <w:rsid w:val="59554FEC"/>
    <w:rsid w:val="59AE0429"/>
    <w:rsid w:val="5B90663B"/>
    <w:rsid w:val="5BE82147"/>
    <w:rsid w:val="5CA42230"/>
    <w:rsid w:val="5F33412B"/>
    <w:rsid w:val="5F7D704B"/>
    <w:rsid w:val="5FA30332"/>
    <w:rsid w:val="6171689E"/>
    <w:rsid w:val="622B0FE0"/>
    <w:rsid w:val="62A52B40"/>
    <w:rsid w:val="633259B1"/>
    <w:rsid w:val="6389533F"/>
    <w:rsid w:val="66DE0D17"/>
    <w:rsid w:val="673D666D"/>
    <w:rsid w:val="67E1568C"/>
    <w:rsid w:val="686B482C"/>
    <w:rsid w:val="69937B96"/>
    <w:rsid w:val="6A603A61"/>
    <w:rsid w:val="6B17588D"/>
    <w:rsid w:val="6DDB3E50"/>
    <w:rsid w:val="6E6374DE"/>
    <w:rsid w:val="7273314B"/>
    <w:rsid w:val="72A028A8"/>
    <w:rsid w:val="75A269C5"/>
    <w:rsid w:val="75BC37EB"/>
    <w:rsid w:val="76265996"/>
    <w:rsid w:val="78EF290F"/>
    <w:rsid w:val="795E2ABC"/>
    <w:rsid w:val="797E23E2"/>
    <w:rsid w:val="7BD00A19"/>
    <w:rsid w:val="7EED78F1"/>
    <w:rsid w:val="7F1A7081"/>
    <w:rsid w:val="7FB52FB2"/>
    <w:rsid w:val="7FBA75D6"/>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Body Text First Indent 2"/>
    <w:basedOn w:val="5"/>
    <w:qFormat/>
    <w:uiPriority w:val="0"/>
    <w:pPr>
      <w:ind w:firstLine="420" w:firstLineChars="200"/>
    </w:pPr>
  </w:style>
  <w:style w:type="character" w:styleId="12">
    <w:name w:val="page number"/>
    <w:qFormat/>
    <w:uiPriority w:val="99"/>
  </w:style>
  <w:style w:type="paragraph" w:customStyle="1" w:styleId="13">
    <w:name w:val="_Style 322"/>
    <w:basedOn w:val="5"/>
    <w:next w:val="9"/>
    <w:qFormat/>
    <w:uiPriority w:val="0"/>
    <w:pPr>
      <w:adjustRightInd/>
      <w:ind w:firstLine="420" w:firstLineChars="200"/>
      <w:textAlignment w:val="auto"/>
    </w:pPr>
    <w:rPr>
      <w:rFonts w:ascii="Calibri" w:hAnsi="Calibri" w:eastAsia="宋体"/>
      <w:kern w:val="2"/>
      <w:sz w:val="21"/>
      <w:szCs w:val="22"/>
    </w:r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1"/>
    <w:basedOn w:val="1"/>
    <w:qFormat/>
    <w:uiPriority w:val="0"/>
  </w:style>
  <w:style w:type="character" w:customStyle="1" w:styleId="16">
    <w:name w:val="标题 1 Char"/>
    <w:link w:val="2"/>
    <w:qFormat/>
    <w:uiPriority w:val="0"/>
    <w:rPr>
      <w:b/>
      <w:bCs/>
      <w:kern w:val="44"/>
      <w:sz w:val="36"/>
      <w:szCs w:val="44"/>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标题2"/>
    <w:basedOn w:val="3"/>
    <w:qFormat/>
    <w:uiPriority w:val="0"/>
    <w:pPr>
      <w:keepNext w:val="0"/>
      <w:keepLines w:val="0"/>
      <w:tabs>
        <w:tab w:val="left" w:pos="0"/>
      </w:tabs>
    </w:pPr>
    <w:rPr>
      <w:rFonts w:ascii="Arial" w:hAnsi="Arial"/>
      <w:b w:val="0"/>
      <w:sz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7067</Words>
  <Characters>7288</Characters>
  <Lines>45</Lines>
  <Paragraphs>12</Paragraphs>
  <TotalTime>3</TotalTime>
  <ScaleCrop>false</ScaleCrop>
  <LinksUpToDate>false</LinksUpToDate>
  <CharactersWithSpaces>8368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黄帅</cp:lastModifiedBy>
  <dcterms:modified xsi:type="dcterms:W3CDTF">2025-12-22T10:12:39Z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DF0D12239F1A43428B05606EFB085F0A_13</vt:lpwstr>
  </property>
  <property fmtid="{D5CDD505-2E9C-101B-9397-08002B2CF9AE}" pid="4" name="KSOTemplateDocerSaveRecord">
    <vt:lpwstr>eyJoZGlkIjoiNGQ3MWU5YjJmN2Y3MDZiNjRkMGRmODEzZDVlZjhkY2MiLCJ1c2VySWQiOiIxNjQ5Nzc3MzA3In0=</vt:lpwstr>
  </property>
</Properties>
</file>